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2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_rels/fontTable.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before="0" w:after="0"/>
        <w:contextualSpacing/>
        <w:jc w:val="center"/>
        <w:rPr>
          <w:rFonts w:ascii="Arial" w:hAnsi="Arial"/>
        </w:rPr>
      </w:pPr>
      <w:r>
        <w:rPr>
          <w:rFonts w:ascii="Arial" w:hAnsi="Arial"/>
          <w:b/>
          <w:bCs/>
          <w:position w:val="0"/>
          <w:sz w:val="32"/>
          <w:sz w:val="32"/>
          <w:szCs w:val="32"/>
          <w:vertAlign w:val="baseline"/>
        </w:rPr>
        <w:t>CONSULTA PÚBLICA - CERTIFICAÇÃO LIFE</w:t>
      </w:r>
    </w:p>
    <w:p>
      <w:pPr>
        <w:pStyle w:val="Normal1"/>
        <w:jc w:val="center"/>
        <w:rPr>
          <w:rFonts w:ascii="Arial" w:hAnsi="Arial"/>
          <w:b/>
          <w:bCs/>
          <w:sz w:val="32"/>
          <w:szCs w:val="32"/>
        </w:rPr>
      </w:pPr>
      <w:r>
        <w:rPr>
          <w:rFonts w:ascii="Arial" w:hAnsi="Arial"/>
          <w:b/>
          <w:bCs/>
          <w:position w:val="0"/>
          <w:sz w:val="32"/>
          <w:sz w:val="32"/>
          <w:szCs w:val="32"/>
          <w:vertAlign w:val="baseline"/>
        </w:rPr>
        <w:t>GRUPO</w:t>
      </w:r>
      <w:r>
        <w:rPr>
          <w:rFonts w:ascii="Arial" w:hAnsi="Arial"/>
          <w:b/>
          <w:bCs/>
          <w:position w:val="0"/>
          <w:sz w:val="32"/>
          <w:sz w:val="32"/>
          <w:szCs w:val="32"/>
          <w:vertAlign w:val="baseline"/>
        </w:rPr>
        <w:t xml:space="preserve"> </w:t>
      </w:r>
      <w:r>
        <w:rPr>
          <w:rFonts w:ascii="Arial" w:hAnsi="Arial"/>
          <w:b/>
          <w:bCs/>
          <w:position w:val="0"/>
          <w:sz w:val="32"/>
          <w:sz w:val="32"/>
          <w:szCs w:val="32"/>
          <w:vertAlign w:val="baseline"/>
        </w:rPr>
        <w:t>BOTICÁRIO</w:t>
      </w:r>
      <w:r>
        <w:rPr>
          <w:rFonts w:ascii="Arial" w:hAnsi="Arial"/>
          <w:b/>
          <w:bCs/>
          <w:position w:val="0"/>
          <w:sz w:val="32"/>
          <w:sz w:val="32"/>
          <w:szCs w:val="32"/>
          <w:vertAlign w:val="baseline"/>
        </w:rPr>
        <w:br/>
        <w:t>(</w:t>
      </w:r>
      <w:r>
        <w:rPr>
          <w:rFonts w:ascii="Arial" w:hAnsi="Arial"/>
          <w:b/>
          <w:bCs/>
          <w:position w:val="0"/>
          <w:sz w:val="32"/>
          <w:sz w:val="32"/>
          <w:szCs w:val="32"/>
          <w:vertAlign w:val="baseline"/>
        </w:rPr>
        <w:t>Botica Comercial Farmacêutica Ltda.</w:t>
      </w:r>
      <w:r>
        <w:rPr>
          <w:rFonts w:ascii="Arial" w:hAnsi="Arial"/>
          <w:b/>
          <w:bCs/>
          <w:position w:val="0"/>
          <w:sz w:val="32"/>
          <w:sz w:val="32"/>
          <w:szCs w:val="32"/>
          <w:vertAlign w:val="baseline"/>
        </w:rPr>
        <w:t>)</w:t>
      </w:r>
    </w:p>
    <w:p>
      <w:pPr>
        <w:pStyle w:val="Normal1"/>
        <w:spacing w:before="0" w:after="0"/>
        <w:contextualSpacing/>
        <w:jc w:val="center"/>
        <w:rPr>
          <w:rFonts w:ascii="Arial" w:hAnsi="Arial"/>
          <w:sz w:val="22"/>
          <w:szCs w:val="22"/>
        </w:rPr>
      </w:pPr>
      <w:r>
        <w:rPr>
          <w:rFonts w:ascii="Arial" w:hAnsi="Arial"/>
          <w:sz w:val="22"/>
          <w:szCs w:val="22"/>
        </w:rPr>
      </w:r>
    </w:p>
    <w:p>
      <w:pPr>
        <w:pStyle w:val="Normal1"/>
        <w:spacing w:before="0" w:after="0"/>
        <w:contextualSpacing/>
        <w:jc w:val="both"/>
        <w:rPr/>
      </w:pPr>
      <w:r>
        <w:rPr>
          <w:rFonts w:ascii="Arial" w:hAnsi="Arial"/>
          <w:position w:val="0"/>
          <w:sz w:val="22"/>
          <w:sz w:val="22"/>
          <w:szCs w:val="22"/>
          <w:vertAlign w:val="baseline"/>
        </w:rPr>
        <w:t xml:space="preserve">Este questionário refere-se ao processo de </w:t>
      </w:r>
      <w:r>
        <w:rPr>
          <w:rFonts w:ascii="Arial" w:hAnsi="Arial"/>
          <w:b/>
          <w:bCs/>
          <w:position w:val="0"/>
          <w:sz w:val="22"/>
          <w:sz w:val="22"/>
          <w:szCs w:val="22"/>
          <w:vertAlign w:val="baseline"/>
        </w:rPr>
        <w:t>C</w:t>
      </w:r>
      <w:r>
        <w:rPr>
          <w:rFonts w:ascii="Arial" w:hAnsi="Arial"/>
          <w:b/>
          <w:bCs/>
          <w:position w:val="0"/>
          <w:sz w:val="22"/>
          <w:sz w:val="22"/>
          <w:szCs w:val="22"/>
          <w:vertAlign w:val="baseline"/>
        </w:rPr>
        <w:t xml:space="preserve">ertificação LIFE </w:t>
      </w:r>
      <w:r>
        <w:rPr>
          <w:rFonts w:ascii="Arial" w:hAnsi="Arial"/>
          <w:b/>
          <w:bCs/>
          <w:position w:val="0"/>
          <w:sz w:val="22"/>
          <w:sz w:val="22"/>
          <w:szCs w:val="22"/>
          <w:vertAlign w:val="baseline"/>
        </w:rPr>
        <w:t>de Negócios e Biodiversidade</w:t>
      </w:r>
      <w:r>
        <w:rPr>
          <w:rFonts w:ascii="Arial" w:hAnsi="Arial"/>
          <w:position w:val="0"/>
          <w:sz w:val="22"/>
          <w:sz w:val="22"/>
          <w:szCs w:val="22"/>
          <w:vertAlign w:val="baseline"/>
        </w:rPr>
        <w:t xml:space="preserve"> d</w:t>
      </w:r>
      <w:r>
        <w:rPr>
          <w:rFonts w:ascii="Arial" w:hAnsi="Arial"/>
          <w:position w:val="0"/>
          <w:sz w:val="22"/>
          <w:sz w:val="22"/>
          <w:szCs w:val="22"/>
          <w:vertAlign w:val="baseline"/>
        </w:rPr>
        <w:t>o</w:t>
      </w:r>
      <w:r>
        <w:rPr>
          <w:rFonts w:ascii="Arial" w:hAnsi="Arial"/>
          <w:position w:val="0"/>
          <w:sz w:val="22"/>
          <w:sz w:val="22"/>
          <w:szCs w:val="22"/>
          <w:vertAlign w:val="baseline"/>
        </w:rPr>
        <w:t xml:space="preserve"> </w:t>
      </w:r>
      <w:r>
        <w:rPr>
          <w:rFonts w:ascii="Arial" w:hAnsi="Arial"/>
          <w:position w:val="0"/>
          <w:sz w:val="22"/>
          <w:sz w:val="22"/>
          <w:szCs w:val="22"/>
          <w:vertAlign w:val="baseline"/>
        </w:rPr>
        <w:t xml:space="preserve">Grupo Boticário, </w:t>
      </w:r>
      <w:r>
        <w:rPr>
          <w:rFonts w:ascii="Arial" w:hAnsi="Arial"/>
          <w:b/>
          <w:bCs/>
          <w:position w:val="0"/>
          <w:sz w:val="22"/>
          <w:sz w:val="22"/>
          <w:szCs w:val="22"/>
          <w:vertAlign w:val="baseline"/>
        </w:rPr>
        <w:t>Botica Comercial Farmacêutica Ltda</w:t>
      </w:r>
      <w:r>
        <w:rPr>
          <w:rFonts w:ascii="Arial" w:hAnsi="Arial"/>
          <w:position w:val="0"/>
          <w:sz w:val="22"/>
          <w:sz w:val="22"/>
          <w:szCs w:val="22"/>
          <w:vertAlign w:val="baseline"/>
        </w:rPr>
        <w:t xml:space="preserve">., </w:t>
      </w:r>
      <w:r>
        <w:rPr>
          <w:rFonts w:ascii="Arial" w:hAnsi="Arial"/>
          <w:position w:val="0"/>
          <w:sz w:val="22"/>
          <w:sz w:val="22"/>
          <w:szCs w:val="22"/>
          <w:vertAlign w:val="baseline"/>
        </w:rPr>
        <w:t>cujo o</w:t>
      </w:r>
      <w:r>
        <w:rPr>
          <w:rFonts w:ascii="Arial" w:hAnsi="Arial"/>
          <w:position w:val="0"/>
          <w:sz w:val="22"/>
          <w:sz w:val="22"/>
          <w:szCs w:val="22"/>
          <w:vertAlign w:val="baseline"/>
        </w:rPr>
        <w:t xml:space="preserve"> objetivo é de realizar uma consulta às partes interessadas buscando levantar dados e informações que possam ser relevantes para a certificação, garantindo assim a validação do processo. A consulta pública é um mecanismo requisitado dentro do programa de Certificação LIFE do Instituto LIFE (</w:t>
      </w:r>
      <w:hyperlink r:id="rId2">
        <w:r>
          <w:rPr>
            <w:rFonts w:ascii="Arial" w:hAnsi="Arial"/>
            <w:color w:val="000000"/>
            <w:position w:val="0"/>
            <w:sz w:val="22"/>
            <w:sz w:val="22"/>
            <w:szCs w:val="22"/>
            <w:u w:val="single"/>
            <w:vertAlign w:val="baseline"/>
          </w:rPr>
          <w:t>www.institutolife.org.br</w:t>
        </w:r>
      </w:hyperlink>
      <w:r>
        <w:rPr>
          <w:rFonts w:ascii="Arial" w:hAnsi="Arial"/>
          <w:position w:val="0"/>
          <w:sz w:val="22"/>
          <w:sz w:val="22"/>
          <w:szCs w:val="22"/>
          <w:vertAlign w:val="baseline"/>
        </w:rPr>
        <w:t>)</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Nesse sentido, gostaríamos de contar com a sua colaboração. A Consulta Pública será realizada de maneira voluntária por meio eletrônico e também está disponível no website do TECPAR-Cert (</w:t>
      </w:r>
      <w:hyperlink r:id="rId3">
        <w:r>
          <w:rPr>
            <w:rStyle w:val="Hyperlink"/>
            <w:rFonts w:ascii="Arial" w:hAnsi="Arial"/>
            <w:position w:val="0"/>
            <w:sz w:val="22"/>
            <w:sz w:val="22"/>
            <w:szCs w:val="22"/>
            <w:vertAlign w:val="baseline"/>
          </w:rPr>
          <w:t>http://www.tecparcert.com.br/</w:t>
        </w:r>
      </w:hyperlink>
      <w:hyperlink r:id="rId4">
        <w:r>
          <w:rPr>
            <w:rFonts w:ascii="Arial" w:hAnsi="Arial"/>
            <w:position w:val="0"/>
            <w:sz w:val="22"/>
            <w:sz w:val="22"/>
            <w:szCs w:val="22"/>
            <w:vertAlign w:val="baseline"/>
          </w:rPr>
          <w:t>).</w:t>
        </w:r>
      </w:hyperlink>
    </w:p>
    <w:p>
      <w:pPr>
        <w:pStyle w:val="Normal1"/>
        <w:spacing w:before="0" w:after="0"/>
        <w:contextualSpacing/>
        <w:jc w:val="both"/>
        <w:rPr>
          <w:rFonts w:ascii="Arial" w:hAnsi="Arial"/>
          <w:sz w:val="22"/>
          <w:szCs w:val="22"/>
        </w:rPr>
      </w:pPr>
      <w:r>
        <w:rPr>
          <w:rFonts w:ascii="Arial" w:hAnsi="Arial"/>
          <w:sz w:val="22"/>
          <w:szCs w:val="22"/>
        </w:rPr>
      </w:r>
    </w:p>
    <w:p>
      <w:pPr>
        <w:pStyle w:val="Normal1"/>
        <w:spacing w:before="0" w:after="0"/>
        <w:contextualSpacing/>
        <w:jc w:val="both"/>
        <w:rPr>
          <w:rFonts w:ascii="Arial" w:hAnsi="Arial"/>
          <w:sz w:val="22"/>
          <w:szCs w:val="22"/>
        </w:rPr>
      </w:pPr>
      <w:r>
        <w:rPr>
          <w:rFonts w:ascii="Arial" w:hAnsi="Arial"/>
          <w:b/>
          <w:bCs/>
          <w:position w:val="0"/>
          <w:sz w:val="22"/>
          <w:sz w:val="22"/>
          <w:szCs w:val="22"/>
          <w:vertAlign w:val="baseline"/>
        </w:rPr>
        <w:t xml:space="preserve">Localização da Organização Auditada: </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 xml:space="preserve">- Botica Comercial Farmacêutica Ltda; </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 xml:space="preserve">Av. Rui Barbosa, 4110 </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Parque da Fonte -  São José dos Pinhais/PR.</w:t>
      </w:r>
    </w:p>
    <w:p>
      <w:pPr>
        <w:pStyle w:val="Normal1"/>
        <w:spacing w:before="0" w:after="0"/>
        <w:contextualSpacing/>
        <w:jc w:val="both"/>
        <w:rPr>
          <w:rFonts w:ascii="Arial" w:hAnsi="Arial"/>
          <w:sz w:val="22"/>
          <w:szCs w:val="22"/>
        </w:rPr>
      </w:pPr>
      <w:r>
        <w:rPr>
          <w:rFonts w:ascii="Arial" w:hAnsi="Arial"/>
          <w:sz w:val="22"/>
          <w:szCs w:val="22"/>
        </w:rPr>
        <w:t xml:space="preserve">- Botica Comercial Farmacêutica </w:t>
      </w:r>
      <w:r>
        <w:rPr>
          <w:rFonts w:ascii="Arial" w:hAnsi="Arial"/>
          <w:sz w:val="22"/>
          <w:szCs w:val="22"/>
        </w:rPr>
        <w:t>Ltda -</w:t>
      </w:r>
      <w:r>
        <w:rPr>
          <w:rFonts w:ascii="Arial" w:hAnsi="Arial"/>
          <w:sz w:val="22"/>
          <w:szCs w:val="22"/>
        </w:rPr>
        <w:t xml:space="preserve"> FILIAL</w:t>
      </w:r>
    </w:p>
    <w:p>
      <w:pPr>
        <w:pStyle w:val="Normal1"/>
        <w:spacing w:before="0" w:after="0"/>
        <w:contextualSpacing/>
        <w:jc w:val="both"/>
        <w:rPr>
          <w:rFonts w:ascii="Arial" w:hAnsi="Arial"/>
          <w:sz w:val="22"/>
          <w:szCs w:val="22"/>
        </w:rPr>
      </w:pPr>
      <w:r>
        <w:rPr>
          <w:rFonts w:ascii="Arial" w:hAnsi="Arial"/>
          <w:sz w:val="22"/>
          <w:szCs w:val="22"/>
        </w:rPr>
        <w:t xml:space="preserve">Rodovia BA 535 (Via Parafuso), S/N Km 13,5 Quadra 4, Lote 01, 02, 06 E 07 </w:t>
      </w:r>
    </w:p>
    <w:p>
      <w:pPr>
        <w:pStyle w:val="Normal1"/>
        <w:spacing w:before="0" w:after="0"/>
        <w:contextualSpacing/>
        <w:jc w:val="both"/>
        <w:rPr>
          <w:rFonts w:ascii="Arial" w:hAnsi="Arial"/>
          <w:sz w:val="22"/>
          <w:szCs w:val="22"/>
        </w:rPr>
      </w:pPr>
      <w:r>
        <w:rPr>
          <w:rFonts w:ascii="Arial" w:hAnsi="Arial"/>
          <w:sz w:val="22"/>
          <w:szCs w:val="22"/>
        </w:rPr>
        <w:t>Polo Petroquímico - Camaçari/BA</w:t>
      </w:r>
    </w:p>
    <w:p>
      <w:pPr>
        <w:pStyle w:val="Normal1"/>
        <w:spacing w:before="0" w:after="0"/>
        <w:contextualSpacing/>
        <w:jc w:val="both"/>
        <w:rPr>
          <w:rFonts w:ascii="Arial" w:hAnsi="Arial"/>
          <w:sz w:val="22"/>
          <w:szCs w:val="22"/>
        </w:rPr>
      </w:pPr>
      <w:r>
        <w:rPr>
          <w:rFonts w:ascii="Arial" w:hAnsi="Arial"/>
          <w:sz w:val="22"/>
          <w:szCs w:val="22"/>
        </w:rPr>
      </w:r>
    </w:p>
    <w:p>
      <w:pPr>
        <w:pStyle w:val="Normal1"/>
        <w:spacing w:before="0" w:after="0"/>
        <w:contextualSpacing/>
        <w:jc w:val="both"/>
        <w:rPr>
          <w:rFonts w:ascii="Arial" w:hAnsi="Arial"/>
          <w:sz w:val="22"/>
          <w:szCs w:val="22"/>
        </w:rPr>
      </w:pPr>
      <w:r>
        <w:rPr>
          <w:rFonts w:ascii="Arial" w:hAnsi="Arial"/>
          <w:b/>
          <w:bCs/>
          <w:position w:val="0"/>
          <w:sz w:val="22"/>
          <w:sz w:val="22"/>
          <w:szCs w:val="22"/>
          <w:vertAlign w:val="baseline"/>
        </w:rPr>
        <w:t>Localização das Ações de Conservação da Biodiversidade:</w:t>
      </w:r>
    </w:p>
    <w:p>
      <w:pPr>
        <w:pStyle w:val="Normal1"/>
        <w:spacing w:before="0" w:after="0"/>
        <w:contextualSpacing/>
        <w:jc w:val="both"/>
        <w:rPr>
          <w:rFonts w:ascii="Arial" w:hAnsi="Arial"/>
          <w:sz w:val="22"/>
          <w:szCs w:val="22"/>
        </w:rPr>
      </w:pPr>
      <w:r>
        <w:rPr>
          <w:rFonts w:ascii="Arial" w:hAnsi="Arial"/>
          <w:sz w:val="22"/>
          <w:szCs w:val="22"/>
        </w:rPr>
        <w:t>- Botica Comercial Farmacêutica LTDA - São José dos Pinhais/PR;</w:t>
      </w:r>
    </w:p>
    <w:p>
      <w:pPr>
        <w:pStyle w:val="Normal1"/>
        <w:spacing w:before="0" w:after="0"/>
        <w:contextualSpacing/>
        <w:jc w:val="both"/>
        <w:rPr>
          <w:rFonts w:ascii="Arial" w:hAnsi="Arial"/>
          <w:sz w:val="22"/>
          <w:szCs w:val="22"/>
        </w:rPr>
      </w:pPr>
      <w:r>
        <w:rPr>
          <w:rFonts w:ascii="Arial" w:hAnsi="Arial"/>
          <w:sz w:val="22"/>
          <w:szCs w:val="22"/>
        </w:rPr>
        <w:t>- Botica Comercial Farmacêutica LTDA - Camaçari/BA;</w:t>
      </w:r>
    </w:p>
    <w:p>
      <w:pPr>
        <w:pStyle w:val="Normal1"/>
        <w:spacing w:before="0" w:after="0"/>
        <w:contextualSpacing/>
        <w:jc w:val="both"/>
        <w:rPr>
          <w:rFonts w:ascii="Arial" w:hAnsi="Arial"/>
          <w:sz w:val="22"/>
          <w:szCs w:val="22"/>
        </w:rPr>
      </w:pPr>
      <w:r>
        <w:rPr>
          <w:rFonts w:ascii="Arial" w:hAnsi="Arial"/>
          <w:sz w:val="22"/>
          <w:szCs w:val="22"/>
        </w:rPr>
        <w:t>- Reserva Natural Salto Morato – Guaraqueçaba/PR;</w:t>
      </w:r>
    </w:p>
    <w:p>
      <w:pPr>
        <w:pStyle w:val="Normal1"/>
        <w:spacing w:before="0" w:after="0"/>
        <w:contextualSpacing/>
        <w:jc w:val="both"/>
        <w:rPr>
          <w:rFonts w:ascii="Arial" w:hAnsi="Arial"/>
          <w:sz w:val="22"/>
          <w:szCs w:val="22"/>
        </w:rPr>
      </w:pPr>
      <w:r>
        <w:rPr>
          <w:rFonts w:ascii="Arial" w:hAnsi="Arial"/>
          <w:sz w:val="22"/>
          <w:szCs w:val="22"/>
        </w:rPr>
      </w:r>
    </w:p>
    <w:p>
      <w:pPr>
        <w:pStyle w:val="Normal1"/>
        <w:spacing w:before="0" w:after="0"/>
        <w:contextualSpacing/>
        <w:jc w:val="both"/>
        <w:rPr>
          <w:rFonts w:ascii="Arial" w:hAnsi="Arial"/>
          <w:sz w:val="22"/>
          <w:szCs w:val="22"/>
        </w:rPr>
      </w:pPr>
      <w:r>
        <w:rPr>
          <w:rFonts w:ascii="Arial" w:hAnsi="Arial"/>
          <w:sz w:val="22"/>
          <w:szCs w:val="22"/>
        </w:rPr>
      </w:r>
    </w:p>
    <w:p>
      <w:pPr>
        <w:pStyle w:val="Normal1"/>
        <w:spacing w:lineRule="auto" w:line="240" w:before="0" w:after="0"/>
        <w:contextualSpacing/>
        <w:jc w:val="center"/>
        <w:rPr>
          <w:rFonts w:ascii="Arial" w:hAnsi="Arial"/>
          <w:sz w:val="28"/>
          <w:szCs w:val="28"/>
        </w:rPr>
      </w:pPr>
      <w:r>
        <w:rPr>
          <w:rFonts w:ascii="Arial" w:hAnsi="Arial"/>
          <w:b/>
          <w:bCs/>
          <w:color w:val="000000"/>
          <w:position w:val="0"/>
          <w:sz w:val="28"/>
          <w:sz w:val="28"/>
          <w:szCs w:val="28"/>
          <w:vertAlign w:val="baseline"/>
        </w:rPr>
        <w:t xml:space="preserve">A CERTIFICAÇÃO LIFE </w:t>
      </w:r>
    </w:p>
    <w:p>
      <w:pPr>
        <w:pStyle w:val="Normal1"/>
        <w:spacing w:lineRule="auto" w:line="240" w:before="0" w:after="0"/>
        <w:contextualSpacing/>
        <w:jc w:val="both"/>
        <w:rPr>
          <w:b/>
          <w:bCs/>
          <w:color w:val="000000"/>
          <w:position w:val="0"/>
          <w:sz w:val="22"/>
          <w:vertAlign w:val="baseline"/>
        </w:rPr>
      </w:pPr>
      <w:r>
        <w:rPr>
          <w:rFonts w:ascii="Arial" w:hAnsi="Arial"/>
          <w:sz w:val="22"/>
          <w:szCs w:val="22"/>
        </w:rPr>
      </w:r>
    </w:p>
    <w:p>
      <w:pPr>
        <w:pStyle w:val="Normal1"/>
        <w:spacing w:before="0" w:after="0"/>
        <w:contextualSpacing/>
        <w:jc w:val="both"/>
        <w:rPr>
          <w:rFonts w:ascii="Arial" w:hAnsi="Arial"/>
          <w:sz w:val="22"/>
          <w:szCs w:val="22"/>
        </w:rPr>
      </w:pPr>
      <w:r>
        <w:rPr>
          <w:rFonts w:ascii="Arial" w:hAnsi="Arial"/>
          <w:color w:val="000000"/>
          <w:position w:val="0"/>
          <w:sz w:val="22"/>
          <w:sz w:val="22"/>
          <w:szCs w:val="22"/>
          <w:vertAlign w:val="baseline"/>
        </w:rPr>
        <w:t>A Certificação LIFE é um instrumento desenvolvido pelo Instituto LIFE, que qualifica e reconhece organizações empresariais que promovem ações voluntárias e efetivas de conservação da biodiversidade, contribuindo para a manutenção de áreas naturais, processos ecológicos e a perenidade de serviços ecossistêmicos. Trata-se de um novo modelo de certificação internacional orientado em resultados, e que leva em consideração aspectos da correlação entre os impactos dos negócios sobre a biodiversidade e sua compensação voluntária além das obrigações legais, servindo de estímulo para que o setor empresarial invista, diretamente ou via terceiros, em efetivas ações de conservação do patrimônio natural.</w:t>
      </w:r>
    </w:p>
    <w:p>
      <w:pPr>
        <w:pStyle w:val="Normal1"/>
        <w:spacing w:lineRule="auto" w:line="240" w:before="0" w:after="0"/>
        <w:contextualSpacing/>
        <w:jc w:val="both"/>
        <w:rPr>
          <w:rFonts w:ascii="Arial" w:hAnsi="Arial"/>
          <w:sz w:val="22"/>
          <w:szCs w:val="22"/>
        </w:rPr>
      </w:pPr>
      <w:r>
        <w:rPr>
          <w:rFonts w:ascii="Arial" w:hAnsi="Arial"/>
          <w:color w:val="000000"/>
          <w:position w:val="0"/>
          <w:sz w:val="22"/>
          <w:sz w:val="22"/>
          <w:szCs w:val="22"/>
          <w:vertAlign w:val="baseline"/>
        </w:rPr>
        <w:t xml:space="preserve">O padrão e a metodologia aplicados na </w:t>
      </w:r>
      <w:r>
        <w:rPr>
          <w:rFonts w:ascii="Arial" w:hAnsi="Arial"/>
          <w:color w:val="000000"/>
          <w:position w:val="0"/>
          <w:sz w:val="22"/>
          <w:sz w:val="22"/>
          <w:szCs w:val="22"/>
          <w:vertAlign w:val="baseline"/>
        </w:rPr>
        <w:t>Certificação LIFE est</w:t>
      </w:r>
      <w:r>
        <w:rPr>
          <w:rFonts w:ascii="Arial" w:hAnsi="Arial"/>
          <w:color w:val="000000"/>
          <w:position w:val="0"/>
          <w:sz w:val="22"/>
          <w:sz w:val="22"/>
          <w:szCs w:val="22"/>
          <w:vertAlign w:val="baseline"/>
        </w:rPr>
        <w:t>ão</w:t>
      </w:r>
      <w:r>
        <w:rPr>
          <w:rFonts w:ascii="Arial" w:hAnsi="Arial"/>
          <w:color w:val="000000"/>
          <w:position w:val="0"/>
          <w:sz w:val="22"/>
          <w:sz w:val="22"/>
          <w:szCs w:val="22"/>
          <w:vertAlign w:val="baseline"/>
        </w:rPr>
        <w:t xml:space="preserve"> alinhad</w:t>
      </w:r>
      <w:r>
        <w:rPr>
          <w:rFonts w:ascii="Arial" w:hAnsi="Arial"/>
          <w:color w:val="000000"/>
          <w:position w:val="0"/>
          <w:sz w:val="22"/>
          <w:sz w:val="22"/>
          <w:szCs w:val="22"/>
          <w:vertAlign w:val="baseline"/>
        </w:rPr>
        <w:t>os</w:t>
      </w:r>
      <w:r>
        <w:rPr>
          <w:rFonts w:ascii="Arial" w:hAnsi="Arial"/>
          <w:color w:val="000000"/>
          <w:position w:val="0"/>
          <w:sz w:val="22"/>
          <w:sz w:val="22"/>
          <w:szCs w:val="22"/>
          <w:vertAlign w:val="baseline"/>
        </w:rPr>
        <w:t xml:space="preserve"> com as melhores práticas internacionais relacionadas a sistemas de certificação, sendo que seu modelo de gestão se baseia em auditorias conduzidas por organismos certificadores independentes, monitoramento e melhoria contínua. Sua metodologia única e inovadora foi desenvolvida por um time multidisciplinar de especialistas oriundos do setor privado, academia e sociedade civil, além de ter sido submetida a consultas públicas que asseguraram transparência e representatividade ao processo como um todo.</w:t>
      </w:r>
    </w:p>
    <w:p>
      <w:pPr>
        <w:pStyle w:val="Normal1"/>
        <w:spacing w:before="0" w:after="0"/>
        <w:contextualSpacing/>
        <w:jc w:val="both"/>
        <w:rPr>
          <w:rFonts w:ascii="Arial" w:hAnsi="Arial"/>
          <w:sz w:val="22"/>
          <w:szCs w:val="22"/>
        </w:rPr>
      </w:pPr>
      <w:r>
        <w:rPr>
          <w:rFonts w:ascii="Arial" w:hAnsi="Arial"/>
          <w:color w:val="000000"/>
          <w:position w:val="0"/>
          <w:sz w:val="22"/>
          <w:sz w:val="22"/>
          <w:szCs w:val="22"/>
          <w:vertAlign w:val="baseline"/>
        </w:rPr>
        <w:t>O caráter inovador da Certificação LIFE resulta de sua natureza multissetorial, sendo aplicável a empresas de qualquer porte ou setor e adaptável à realidade de qualquer país.</w:t>
      </w:r>
    </w:p>
    <w:p>
      <w:pPr>
        <w:pStyle w:val="Heading2"/>
        <w:tabs>
          <w:tab w:val="clear" w:pos="720"/>
          <w:tab w:val="left" w:pos="8460" w:leader="none"/>
        </w:tabs>
        <w:spacing w:lineRule="auto" w:line="240" w:before="113" w:after="113"/>
        <w:contextualSpacing/>
        <w:jc w:val="both"/>
        <w:rPr>
          <w:rFonts w:ascii="Arial" w:hAnsi="Arial"/>
          <w:sz w:val="22"/>
          <w:szCs w:val="22"/>
        </w:rPr>
      </w:pPr>
      <w:r>
        <w:rPr>
          <w:rFonts w:eastAsia="Calibri" w:cs="Calibri" w:ascii="Arial" w:hAnsi="Arial"/>
          <w:color w:val="000000"/>
          <w:position w:val="0"/>
          <w:sz w:val="22"/>
          <w:sz w:val="22"/>
          <w:szCs w:val="22"/>
          <w:vertAlign w:val="baseline"/>
        </w:rPr>
        <w:t>A Certificação LIFE assume que o real engajamento de qualquer organização com a conservação da biodiversidade pode ser avaliada de duas maneiras complementares: através da inclusão da biodiversidade na gestão organizacional; e através da realização de ações concretas e efetivas para a conservação da biodiversidade.</w:t>
      </w:r>
    </w:p>
    <w:p>
      <w:pPr>
        <w:pStyle w:val="Heading2"/>
        <w:tabs>
          <w:tab w:val="clear" w:pos="720"/>
          <w:tab w:val="left" w:pos="8460" w:leader="none"/>
        </w:tabs>
        <w:spacing w:lineRule="auto" w:line="240" w:before="113" w:after="113"/>
        <w:jc w:val="both"/>
        <w:rPr>
          <w:rFonts w:ascii="Arial" w:hAnsi="Arial"/>
          <w:sz w:val="22"/>
          <w:szCs w:val="22"/>
        </w:rPr>
      </w:pPr>
      <w:r>
        <w:rPr>
          <w:rFonts w:eastAsia="Calibri" w:cs="Calibri" w:ascii="Arial" w:hAnsi="Arial"/>
          <w:color w:val="000000"/>
          <w:position w:val="0"/>
          <w:sz w:val="22"/>
          <w:sz w:val="22"/>
          <w:szCs w:val="22"/>
          <w:vertAlign w:val="baseline"/>
        </w:rPr>
        <w:t>Neste sentido, a Metodologia de Certificação LIFE é composta por:</w:t>
      </w:r>
    </w:p>
    <w:p>
      <w:pPr>
        <w:pStyle w:val="Normal1"/>
        <w:keepNext w:val="false"/>
        <w:keepLines w:val="false"/>
        <w:pageBreakBefore w:val="false"/>
        <w:widowControl/>
        <w:numPr>
          <w:ilvl w:val="0"/>
          <w:numId w:val="12"/>
        </w:numPr>
        <w:pBdr/>
        <w:shd w:val="clear" w:fill="auto"/>
        <w:spacing w:lineRule="auto" w:line="240" w:before="113" w:after="113"/>
        <w:ind w:hanging="357" w:left="714" w:right="0"/>
        <w:jc w:val="left"/>
        <w:rPr>
          <w:rFonts w:ascii="Arial" w:hAnsi="Arial"/>
          <w:sz w:val="22"/>
          <w:szCs w:val="22"/>
        </w:rPr>
      </w:pPr>
      <w:r>
        <w:rPr>
          <w:rFonts w:eastAsia="Calibri" w:cs="Calibri"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Uma abordagem qualitativa, aplicada à gestão organizacional através dos </w:t>
      </w:r>
      <w:r>
        <w:rPr>
          <w:rFonts w:eastAsia="Calibri" w:cs="Calibri"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rPr>
        <w:t>p</w:t>
      </w:r>
      <w:r>
        <w:rPr>
          <w:rFonts w:eastAsia="Calibri" w:cs="Calibri"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rPr>
        <w:t>adrões de Certificação LIFE, compostos por Princípios, Critérios e indicadores, e;</w:t>
      </w:r>
    </w:p>
    <w:p>
      <w:pPr>
        <w:pStyle w:val="Normal1"/>
        <w:keepNext w:val="false"/>
        <w:keepLines w:val="false"/>
        <w:pageBreakBefore w:val="false"/>
        <w:widowControl/>
        <w:numPr>
          <w:ilvl w:val="0"/>
          <w:numId w:val="12"/>
        </w:numPr>
        <w:pBdr/>
        <w:shd w:val="clear" w:fill="auto"/>
        <w:spacing w:lineRule="auto" w:line="240" w:before="113" w:after="113"/>
        <w:ind w:hanging="357" w:left="714" w:right="0"/>
        <w:jc w:val="both"/>
        <w:rPr>
          <w:rFonts w:ascii="Arial" w:hAnsi="Arial"/>
          <w:sz w:val="22"/>
          <w:szCs w:val="22"/>
        </w:rPr>
      </w:pPr>
      <w:r>
        <w:rPr>
          <w:rFonts w:eastAsia="Calibri" w:cs="Calibri"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rPr>
        <w:t>Uma abordagem quantitativa, que estabelece um desempenho mínimo em ações de conservação da biodiversidade considerando os impactos e porte da organização e avalia a eficácia das ações de conservação da biodiversidade realizadas e/ou apoiadas pela organização.</w:t>
      </w:r>
    </w:p>
    <w:p>
      <w:pPr>
        <w:pStyle w:val="Normal1"/>
        <w:widowControl/>
        <w:pBdr/>
        <w:shd w:val="clear" w:fill="auto"/>
        <w:bidi w:val="0"/>
        <w:spacing w:lineRule="auto" w:line="240" w:before="113" w:after="113"/>
        <w:ind w:hanging="0" w:left="0" w:right="0"/>
        <w:jc w:val="both"/>
        <w:rPr>
          <w:rFonts w:ascii="Arial" w:hAnsi="Arial"/>
          <w:sz w:val="22"/>
          <w:szCs w:val="22"/>
        </w:rPr>
      </w:pPr>
      <w:r>
        <w:rPr>
          <w:rFonts w:eastAsia="Calibri" w:cs="Calibri" w:ascii="Arial" w:hAnsi="Arial"/>
          <w:color w:val="000000"/>
          <w:position w:val="0"/>
          <w:sz w:val="22"/>
          <w:sz w:val="22"/>
          <w:szCs w:val="22"/>
          <w:vertAlign w:val="baseline"/>
        </w:rPr>
        <w:t xml:space="preserve">Para a obtenção da Certificação LIFE, além de demostrar cumprimento aos Padrões de Certificação LIFE, a avaliação das ações de conservação da biodiversidade realizadas e/ou apoiadas pela organização deve refletir em um desempenho realizado igual ou superior ao mínimo necessário para ela, considerando seus impactos e porte. </w:t>
      </w:r>
    </w:p>
    <w:p>
      <w:pPr>
        <w:pStyle w:val="Normal1"/>
        <w:spacing w:before="113" w:after="113"/>
        <w:jc w:val="both"/>
        <w:rPr>
          <w:rFonts w:ascii="Arial" w:hAnsi="Arial"/>
          <w:b w:val="false"/>
          <w:bCs w:val="false"/>
          <w:position w:val="0"/>
          <w:sz w:val="22"/>
          <w:sz w:val="22"/>
          <w:szCs w:val="22"/>
          <w:vertAlign w:val="baseline"/>
        </w:rPr>
      </w:pPr>
      <w:r>
        <w:rPr>
          <w:rFonts w:ascii="Arial" w:hAnsi="Arial"/>
          <w:b w:val="false"/>
          <w:bCs w:val="false"/>
          <w:position w:val="0"/>
          <w:sz w:val="22"/>
          <w:sz w:val="22"/>
          <w:szCs w:val="22"/>
          <w:vertAlign w:val="baseline"/>
        </w:rPr>
      </w:r>
    </w:p>
    <w:p>
      <w:pPr>
        <w:pStyle w:val="Normal1"/>
        <w:spacing w:before="113" w:after="113"/>
        <w:jc w:val="both"/>
        <w:rPr>
          <w:rFonts w:ascii="Arial" w:hAnsi="Arial"/>
          <w:b w:val="false"/>
          <w:bCs w:val="false"/>
          <w:position w:val="0"/>
          <w:sz w:val="22"/>
          <w:sz w:val="22"/>
          <w:szCs w:val="22"/>
          <w:vertAlign w:val="baseline"/>
        </w:rPr>
      </w:pPr>
      <w:r>
        <w:rPr>
          <w:rFonts w:ascii="Arial" w:hAnsi="Arial"/>
          <w:b w:val="false"/>
          <w:bCs w:val="false"/>
          <w:position w:val="0"/>
          <w:sz w:val="22"/>
          <w:sz w:val="22"/>
          <w:szCs w:val="22"/>
          <w:vertAlign w:val="baseline"/>
        </w:rPr>
      </w:r>
    </w:p>
    <w:p>
      <w:pPr>
        <w:pStyle w:val="Normal1"/>
        <w:spacing w:before="0" w:after="0"/>
        <w:contextualSpacing/>
        <w:jc w:val="both"/>
        <w:rPr>
          <w:rFonts w:ascii="Arial" w:hAnsi="Arial"/>
          <w:sz w:val="28"/>
          <w:szCs w:val="28"/>
        </w:rPr>
      </w:pPr>
      <w:r>
        <w:rPr>
          <w:rFonts w:ascii="Arial" w:hAnsi="Arial"/>
          <w:b/>
          <w:bCs/>
          <w:position w:val="0"/>
          <w:sz w:val="28"/>
          <w:sz w:val="28"/>
          <w:szCs w:val="28"/>
          <w:vertAlign w:val="baseline"/>
        </w:rPr>
        <w:t>BREVE HISTÓRICO D</w:t>
      </w:r>
      <w:r>
        <w:rPr>
          <w:rFonts w:ascii="Arial" w:hAnsi="Arial"/>
          <w:b/>
          <w:bCs/>
          <w:position w:val="0"/>
          <w:sz w:val="28"/>
          <w:sz w:val="28"/>
          <w:szCs w:val="28"/>
          <w:vertAlign w:val="baseline"/>
        </w:rPr>
        <w:t>O GRUPO BOTICÁRIO</w:t>
      </w:r>
    </w:p>
    <w:p>
      <w:pPr>
        <w:pStyle w:val="Normal1"/>
        <w:spacing w:before="0" w:after="0"/>
        <w:contextualSpacing/>
        <w:jc w:val="both"/>
        <w:rPr>
          <w:b/>
          <w:bCs/>
          <w:position w:val="0"/>
          <w:sz w:val="22"/>
          <w:vertAlign w:val="baseline"/>
        </w:rPr>
      </w:pPr>
      <w:r>
        <w:rPr>
          <w:rFonts w:ascii="Arial" w:hAnsi="Arial"/>
          <w:sz w:val="28"/>
          <w:szCs w:val="28"/>
        </w:rPr>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Com o Brasil na terça posição no ranking mundial no setor de perfumaria e cosméticos, à frente do Japão e atrás apenas dos Estados Unidos e da China, o Grupo Boticário está preparado para os novos desafios do varejo mundial e para consolidar a sua posição como uma das principais organizações de beleza do mundo. Atuando em nove países, o Grupo tem seu maior mercado no Brasil, onde está presente em 1.750 municípios com 3.962 pontos de venda das unidades de negócio O Boticário, Eudora, quem disse, Berenice? e The Beauty Box, além de contar com uma rede de consultoras de venda direta e disponibilizar um portfólio de mais de 9 mil produtos de beleza via e-commerce.</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Além do Brasil, o Grupo Boticário está presente em Portugal, Japão, Angola, Venezuela e Paraguai, Moçambique, Colômbia e nos Estados Unidos por meio de sua unidade de negócio O Boticário.</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Com 31 anos de história, a Fundação Grupo Boticário é uma das principais fundações empresariais do Brasil que atuam para proteger a natureza brasileira. A instituição atua para que a conservação da biodiversidade seja priorizada nos negócios e em políticas públicas e apoia ações que aproximem diferentes atores e mecanismos em busca de soluções para os principais desafios ambientais, sociais e econômicos. Já apoiou cerca de 1.600 iniciativas em todos os biomas no país. Protege duas áreas de Mata Atlântica e Cerrado – os biomas mais ameaçados do Brasil –, somando 11 mil hectares, o equivalente a 70 Parques do Ibirapuera. Com mais de 1,2 milhão de seguidores nas redes sociais, busca também aproximar a natureza do cotidiano das pessoas. A Fundação é fruto da inspiração de Miguel Krigsner, fundador de O Boticário e atual presidente do Conselho de Administração do Grupo Boticário. A instituição foi criada em 1990, dois anos antes da Rio-92 ou Cúpula da Terra, evento que foi um marco para a conservação ambiental mundial.</w:t>
      </w:r>
    </w:p>
    <w:p>
      <w:pPr>
        <w:pStyle w:val="Normal1"/>
        <w:spacing w:before="0" w:after="0"/>
        <w:contextualSpacing/>
        <w:jc w:val="both"/>
        <w:rPr>
          <w:rFonts w:ascii="Arial" w:hAnsi="Arial"/>
          <w:position w:val="0"/>
          <w:sz w:val="22"/>
          <w:sz w:val="22"/>
          <w:szCs w:val="22"/>
          <w:vertAlign w:val="baseline"/>
        </w:rPr>
      </w:pPr>
      <w:r>
        <w:rPr>
          <w:rFonts w:ascii="Arial" w:hAnsi="Arial"/>
          <w:position w:val="0"/>
          <w:sz w:val="22"/>
          <w:sz w:val="22"/>
          <w:szCs w:val="22"/>
          <w:vertAlign w:val="baseline"/>
        </w:rPr>
      </w:r>
    </w:p>
    <w:p>
      <w:pPr>
        <w:pStyle w:val="Normal1"/>
        <w:keepNext w:val="false"/>
        <w:keepLines w:val="false"/>
        <w:pageBreakBefore w:val="false"/>
        <w:widowControl/>
        <w:pBdr/>
        <w:shd w:val="clear" w:fill="auto"/>
        <w:spacing w:lineRule="auto" w:line="276" w:before="0" w:after="0"/>
        <w:ind w:hanging="0" w:left="0" w:right="0"/>
        <w:contextualSpacing/>
        <w:jc w:val="both"/>
        <w:rPr>
          <w:rFonts w:ascii="Arial" w:hAnsi="Arial"/>
          <w:sz w:val="22"/>
          <w:szCs w:val="22"/>
        </w:rPr>
      </w:pPr>
      <w:r>
        <w:rPr>
          <w:rFonts w:eastAsia="Calibri" w:cs="Calibri"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rPr>
        <w:t>Com vocação empreendedora, o Grupo Boticário realiza investimentos constantes e sustentáveis em pesquisa, inovação, tecnologia, infraestrutura e pessoas. Nos últimos cinco anos, o Grupo Boticário promoveu investimentos próximos de R$ 1 bilhão, que deram origem a um importante movimento de expansão e modernização da infraestrutura operacional. Em 2010 a companhia redesenhou seu modelo logístico e construiu seu primeiro centro de distribuição, no município de Registro-SP. A partir de 2012 o Grupo deu início a grandes obras simultâneas. Em São José dos Pinhais (PR), inaugurou, em 2013, um moderno Centro de Pesquisa e Desenvolvimento com oito mil metros quadrados e 250 pesquisadores com capacidade para desenvolver até dois mil produtos ao mesmo tempo. Também em São José dos Pinhais implantou uma nova linha de fabricação de maquiagem e um armazém automatizado de 4 mil m². Em 2014 o Grupo finalizou esse projeto de expansão com a inauguração de duas novas unidades operacionais na Bahia: um centro de distribuição em São Gonçalo dos Campos, que entrou em operação no mês de abril e uma nova fábrica em Camaçari, inaugurada em setembro. As duas novas unidades geraram mais de 600 empregos diretos e já atendem à crescente demanda das regiões Norte e Nordeste e do Brasil.</w:t>
        <w:br/>
        <w:t>A história do Grupo Boticário começou em 1977, quando o farmacêutico e bioquímico Miguel Krigsner, aos 27 anos, montou em Curitiba uma pequena farmácia de manipulação de cosméticos. A paixão do empreendedor pela beleza, em especial pela perfumaria, levou Krigsner a criar as primeiras fragrâncias e, rapidamente, avançar no mercado brasileiro deste segmento, sendo pioneiro no Brasil na expansão pelo modelo de franquias, ainda na década de 1980, quando este formato de negócio não existia no país.</w:t>
      </w:r>
    </w:p>
    <w:p>
      <w:pPr>
        <w:pStyle w:val="Normal1"/>
        <w:spacing w:before="0" w:after="0"/>
        <w:contextualSpacing/>
        <w:jc w:val="both"/>
        <w:rPr>
          <w:rFonts w:ascii="Arial" w:hAnsi="Arial"/>
          <w:sz w:val="22"/>
          <w:szCs w:val="22"/>
        </w:rPr>
      </w:pPr>
      <w:r>
        <w:rPr>
          <w:rFonts w:ascii="Arial" w:hAnsi="Arial"/>
          <w:position w:val="0"/>
          <w:sz w:val="22"/>
          <w:sz w:val="22"/>
          <w:szCs w:val="22"/>
          <w:vertAlign w:val="baseline"/>
        </w:rPr>
        <w:t>A expertise adquirida durante a trajetória empresarial de O Boticário fez com que o Grupo Boticário obtivesse posição de destaque no cenário nacional e internacional e solidificasse a base que permitiu o lançamento de suas novas unidades de negócio a partir de 2011, com Eudora. Em 2012, foi a vez de o Grupo Boticário lançar quem disse, Berenice? e The Beauty Box. As unidades, com propostas de valor diferenciadas, em múltiplos canais, atendem o consumidor em todas as necessidades e momentos.</w:t>
      </w:r>
    </w:p>
    <w:p>
      <w:pPr>
        <w:pStyle w:val="Normal1"/>
        <w:spacing w:before="0" w:after="0"/>
        <w:contextualSpacing/>
        <w:jc w:val="both"/>
        <w:rPr>
          <w:rFonts w:ascii="Arial" w:hAnsi="Arial"/>
          <w:sz w:val="22"/>
          <w:szCs w:val="22"/>
        </w:rPr>
      </w:pPr>
      <w:r>
        <w:rPr>
          <w:rFonts w:ascii="Arial" w:hAnsi="Arial"/>
          <w:sz w:val="22"/>
          <w:szCs w:val="22"/>
        </w:rPr>
      </w:r>
    </w:p>
    <w:p>
      <w:pPr>
        <w:pStyle w:val="Normal1"/>
        <w:spacing w:before="0" w:after="0"/>
        <w:contextualSpacing/>
        <w:jc w:val="both"/>
        <w:rPr>
          <w:rFonts w:ascii="Arial" w:hAnsi="Arial"/>
          <w:sz w:val="22"/>
          <w:szCs w:val="22"/>
        </w:rPr>
      </w:pPr>
      <w:r>
        <w:rPr>
          <w:rFonts w:ascii="Arial" w:hAnsi="Arial"/>
          <w:sz w:val="22"/>
          <w:szCs w:val="22"/>
        </w:rPr>
      </w:r>
    </w:p>
    <w:p>
      <w:pPr>
        <w:pStyle w:val="Normal1"/>
        <w:spacing w:before="0" w:after="0"/>
        <w:contextualSpacing/>
        <w:jc w:val="both"/>
        <w:rPr>
          <w:rFonts w:ascii="Arial" w:hAnsi="Arial"/>
          <w:sz w:val="28"/>
          <w:szCs w:val="28"/>
        </w:rPr>
      </w:pPr>
      <w:r>
        <w:rPr>
          <w:rFonts w:ascii="Arial" w:hAnsi="Arial"/>
          <w:b/>
          <w:bCs/>
          <w:position w:val="0"/>
          <w:sz w:val="28"/>
          <w:sz w:val="28"/>
          <w:szCs w:val="28"/>
          <w:vertAlign w:val="baseline"/>
        </w:rPr>
        <w:t xml:space="preserve">AÇÕES DE CAMPO REALIZADAS E/OU APOIADAS: </w:t>
      </w:r>
    </w:p>
    <w:p>
      <w:pPr>
        <w:pStyle w:val="Normal1"/>
        <w:spacing w:before="0" w:after="0"/>
        <w:contextualSpacing/>
        <w:jc w:val="both"/>
        <w:rPr>
          <w:b/>
          <w:bCs/>
          <w:position w:val="0"/>
          <w:sz w:val="22"/>
          <w:vertAlign w:val="baseline"/>
        </w:rPr>
      </w:pPr>
      <w:r>
        <w:rPr>
          <w:rFonts w:ascii="Arial" w:hAnsi="Arial"/>
          <w:sz w:val="22"/>
          <w:szCs w:val="22"/>
        </w:rPr>
      </w:r>
    </w:p>
    <w:p>
      <w:pPr>
        <w:pStyle w:val="Normal1"/>
        <w:spacing w:lineRule="auto" w:line="276" w:before="0" w:after="0"/>
        <w:contextualSpacing/>
        <w:jc w:val="left"/>
        <w:rPr/>
      </w:pPr>
      <w:r>
        <w:rPr>
          <w:rFonts w:eastAsia="Arial" w:cs="Arial" w:ascii="Arial" w:hAnsi="Arial"/>
          <w:b/>
          <w:bCs/>
        </w:rPr>
        <w:t>Energia do Amanhã</w:t>
      </w:r>
    </w:p>
    <w:p>
      <w:pPr>
        <w:pStyle w:val="Normal1"/>
        <w:numPr>
          <w:ilvl w:val="0"/>
          <w:numId w:val="1"/>
        </w:numPr>
        <w:spacing w:lineRule="auto" w:line="276" w:before="0" w:afterAutospacing="0" w:after="0"/>
        <w:ind w:hanging="360" w:left="720"/>
        <w:contextualSpacing/>
        <w:rPr/>
      </w:pPr>
      <w:r>
        <w:rPr>
          <w:rFonts w:eastAsia="Arial" w:cs="Arial" w:ascii="Arial" w:hAnsi="Arial"/>
        </w:rPr>
        <w:t>Franquias - Planejamento do projeto de contratação de energia renovável</w:t>
      </w:r>
    </w:p>
    <w:p>
      <w:pPr>
        <w:pStyle w:val="Normal1"/>
        <w:numPr>
          <w:ilvl w:val="0"/>
          <w:numId w:val="1"/>
        </w:numPr>
        <w:spacing w:lineRule="auto" w:line="276" w:before="0" w:afterAutospacing="0" w:after="0"/>
        <w:ind w:hanging="360" w:left="720"/>
        <w:contextualSpacing/>
        <w:rPr/>
      </w:pPr>
      <w:r>
        <w:rPr>
          <w:rFonts w:eastAsia="Arial" w:cs="Arial" w:ascii="Arial" w:hAnsi="Arial"/>
        </w:rPr>
        <w:t>Engajamento Franqueados (Boticário) Energia Renovável</w:t>
      </w:r>
    </w:p>
    <w:p>
      <w:pPr>
        <w:pStyle w:val="Normal1"/>
        <w:numPr>
          <w:ilvl w:val="0"/>
          <w:numId w:val="1"/>
        </w:numPr>
        <w:spacing w:lineRule="auto" w:line="276" w:before="0" w:afterAutospacing="0" w:after="0"/>
        <w:ind w:hanging="360" w:left="720"/>
        <w:contextualSpacing/>
        <w:rPr/>
      </w:pPr>
      <w:r>
        <w:rPr>
          <w:rFonts w:eastAsia="Arial" w:cs="Arial" w:ascii="Arial" w:hAnsi="Arial"/>
        </w:rPr>
        <w:t>Contratação de Energia renovável</w:t>
      </w:r>
    </w:p>
    <w:p>
      <w:pPr>
        <w:pStyle w:val="Normal1"/>
        <w:numPr>
          <w:ilvl w:val="0"/>
          <w:numId w:val="1"/>
        </w:numPr>
        <w:spacing w:lineRule="auto" w:line="276" w:before="0" w:afterAutospacing="0" w:after="0"/>
        <w:ind w:hanging="360" w:left="720"/>
        <w:contextualSpacing/>
        <w:rPr/>
      </w:pPr>
      <w:r>
        <w:rPr>
          <w:rFonts w:eastAsia="Arial" w:cs="Arial" w:ascii="Arial" w:hAnsi="Arial"/>
        </w:rPr>
        <w:t>Lojas próprias - Planejamento do Projeto de Contrato de energia renovável</w:t>
      </w:r>
    </w:p>
    <w:p>
      <w:pPr>
        <w:pStyle w:val="Normal1"/>
        <w:numPr>
          <w:ilvl w:val="0"/>
          <w:numId w:val="1"/>
        </w:numPr>
        <w:spacing w:lineRule="auto" w:line="276" w:before="0" w:afterAutospacing="0" w:after="0"/>
        <w:ind w:hanging="360" w:left="720"/>
        <w:contextualSpacing/>
        <w:rPr/>
      </w:pPr>
      <w:r>
        <w:rPr>
          <w:rFonts w:eastAsia="Arial" w:cs="Arial" w:ascii="Arial" w:hAnsi="Arial"/>
        </w:rPr>
        <w:t>Salões - Planejamento do projeto de contratação de energia renovável</w:t>
      </w:r>
    </w:p>
    <w:p>
      <w:pPr>
        <w:pStyle w:val="Normal1"/>
        <w:numPr>
          <w:ilvl w:val="0"/>
          <w:numId w:val="1"/>
        </w:numPr>
        <w:spacing w:lineRule="auto" w:line="276" w:before="0" w:after="0"/>
        <w:ind w:hanging="360" w:left="720"/>
        <w:contextualSpacing/>
        <w:rPr/>
      </w:pPr>
      <w:r>
        <w:rPr>
          <w:rFonts w:eastAsia="Arial" w:cs="Arial" w:ascii="Arial" w:hAnsi="Arial"/>
        </w:rPr>
        <w:t>Engajamento de consultores no programa Energia do Amanhã</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[SJP] Boomerang</w:t>
      </w:r>
    </w:p>
    <w:p>
      <w:pPr>
        <w:pStyle w:val="Normal1"/>
        <w:numPr>
          <w:ilvl w:val="0"/>
          <w:numId w:val="5"/>
        </w:numPr>
        <w:spacing w:lineRule="auto" w:line="276" w:before="0" w:afterAutospacing="0" w:after="0"/>
        <w:ind w:hanging="360" w:left="720"/>
        <w:contextualSpacing/>
        <w:rPr/>
      </w:pPr>
      <w:r>
        <w:rPr>
          <w:rFonts w:eastAsia="Arial" w:cs="Arial" w:ascii="Arial" w:hAnsi="Arial"/>
        </w:rPr>
        <w:t>Recirculação de Caixas e Tampas</w:t>
      </w:r>
    </w:p>
    <w:p>
      <w:pPr>
        <w:pStyle w:val="Normal1"/>
        <w:numPr>
          <w:ilvl w:val="0"/>
          <w:numId w:val="5"/>
        </w:numPr>
        <w:spacing w:lineRule="auto" w:line="276" w:before="0" w:afterAutospacing="0" w:after="0"/>
        <w:ind w:hanging="360" w:left="720"/>
        <w:contextualSpacing/>
        <w:rPr/>
      </w:pPr>
      <w:r>
        <w:rPr>
          <w:rFonts w:eastAsia="Arial" w:cs="Arial" w:ascii="Arial" w:hAnsi="Arial"/>
        </w:rPr>
        <w:t>Projeto Boomerang - reutilização com parceiros</w:t>
      </w:r>
    </w:p>
    <w:p>
      <w:pPr>
        <w:pStyle w:val="Normal1"/>
        <w:numPr>
          <w:ilvl w:val="0"/>
          <w:numId w:val="5"/>
        </w:numPr>
        <w:spacing w:lineRule="auto" w:line="276" w:before="0" w:after="0"/>
        <w:ind w:hanging="360" w:left="720"/>
        <w:contextualSpacing/>
        <w:rPr/>
      </w:pPr>
      <w:r>
        <w:rPr>
          <w:rFonts w:eastAsia="Arial" w:cs="Arial" w:ascii="Arial" w:hAnsi="Arial"/>
        </w:rPr>
        <w:t>Fragmentadora de papelão em CDs</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Vidro Circula</w:t>
      </w:r>
    </w:p>
    <w:p>
      <w:pPr>
        <w:pStyle w:val="Normal1"/>
        <w:numPr>
          <w:ilvl w:val="0"/>
          <w:numId w:val="7"/>
        </w:numPr>
        <w:spacing w:lineRule="auto" w:line="276" w:before="0" w:afterAutospacing="0" w:after="0"/>
        <w:ind w:hanging="360" w:left="720"/>
        <w:contextualSpacing/>
        <w:rPr/>
      </w:pPr>
      <w:r>
        <w:rPr>
          <w:rFonts w:eastAsia="Arial" w:cs="Arial" w:ascii="Arial" w:hAnsi="Arial"/>
        </w:rPr>
        <w:t>(Piloto) Vidro Circula</w:t>
      </w:r>
    </w:p>
    <w:p>
      <w:pPr>
        <w:pStyle w:val="Normal1"/>
        <w:numPr>
          <w:ilvl w:val="0"/>
          <w:numId w:val="7"/>
        </w:numPr>
        <w:spacing w:lineRule="auto" w:line="276" w:before="0" w:after="0"/>
        <w:ind w:hanging="360" w:left="720"/>
        <w:contextualSpacing/>
        <w:rPr/>
      </w:pPr>
      <w:r>
        <w:rPr>
          <w:rFonts w:eastAsia="Arial" w:cs="Arial" w:ascii="Arial" w:hAnsi="Arial"/>
        </w:rPr>
        <w:t>Planejamento de Recirculação de vidro</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Lojas Sustentáveis</w:t>
      </w:r>
    </w:p>
    <w:p>
      <w:pPr>
        <w:pStyle w:val="Normal1"/>
        <w:numPr>
          <w:ilvl w:val="0"/>
          <w:numId w:val="2"/>
        </w:numPr>
        <w:spacing w:lineRule="auto" w:line="276" w:before="0" w:afterAutospacing="0" w:after="0"/>
        <w:ind w:hanging="360" w:left="720"/>
        <w:contextualSpacing/>
        <w:rPr/>
      </w:pPr>
      <w:r>
        <w:rPr>
          <w:rFonts w:eastAsia="Arial" w:cs="Arial" w:ascii="Arial" w:hAnsi="Arial"/>
        </w:rPr>
        <w:t>(SJP) Instalações de Lojas Sustentáveis</w:t>
      </w:r>
    </w:p>
    <w:p>
      <w:pPr>
        <w:pStyle w:val="Normal1"/>
        <w:numPr>
          <w:ilvl w:val="0"/>
          <w:numId w:val="2"/>
        </w:numPr>
        <w:spacing w:lineRule="auto" w:line="276" w:before="0" w:afterAutospacing="0" w:after="0"/>
        <w:ind w:hanging="360" w:left="720"/>
        <w:contextualSpacing/>
        <w:rPr/>
      </w:pPr>
      <w:r>
        <w:rPr>
          <w:rFonts w:eastAsia="Arial" w:cs="Arial" w:ascii="Arial" w:hAnsi="Arial"/>
        </w:rPr>
        <w:t>Planejamento Lojas Sustentáveis</w:t>
      </w:r>
    </w:p>
    <w:p>
      <w:pPr>
        <w:pStyle w:val="Normal1"/>
        <w:numPr>
          <w:ilvl w:val="0"/>
          <w:numId w:val="2"/>
        </w:numPr>
        <w:spacing w:lineRule="auto" w:line="276" w:before="0" w:afterAutospacing="0" w:after="0"/>
        <w:ind w:hanging="360" w:left="720"/>
        <w:contextualSpacing/>
        <w:rPr/>
      </w:pPr>
      <w:r>
        <w:rPr>
          <w:rFonts w:eastAsia="Arial" w:cs="Arial" w:ascii="Arial" w:hAnsi="Arial"/>
        </w:rPr>
        <w:t>Chapa sustentável</w:t>
      </w:r>
    </w:p>
    <w:p>
      <w:pPr>
        <w:pStyle w:val="Normal1"/>
        <w:numPr>
          <w:ilvl w:val="0"/>
          <w:numId w:val="2"/>
        </w:numPr>
        <w:spacing w:lineRule="auto" w:line="276" w:before="0" w:after="0"/>
        <w:ind w:hanging="360" w:left="720"/>
        <w:contextualSpacing/>
        <w:rPr/>
      </w:pPr>
      <w:r>
        <w:rPr>
          <w:rFonts w:eastAsia="Arial" w:cs="Arial" w:ascii="Arial" w:hAnsi="Arial"/>
        </w:rPr>
        <w:t>(CAM) Instalações de lojas sustentáve</w:t>
      </w:r>
      <w:r>
        <w:rPr>
          <w:rFonts w:eastAsia="Arial" w:cs="Arial" w:ascii="Arial" w:hAnsi="Arial"/>
        </w:rPr>
        <w:t>i</w:t>
      </w:r>
      <w:r>
        <w:rPr>
          <w:rFonts w:eastAsia="Arial" w:cs="Arial" w:ascii="Arial" w:hAnsi="Arial"/>
        </w:rPr>
        <w:t>s</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both"/>
        <w:rPr/>
      </w:pPr>
      <w:r>
        <w:rPr>
          <w:rFonts w:eastAsia="Arial" w:cs="Arial" w:ascii="Arial" w:hAnsi="Arial"/>
          <w:b/>
          <w:bCs/>
        </w:rPr>
        <w:t>Waterplan</w:t>
      </w:r>
    </w:p>
    <w:p>
      <w:pPr>
        <w:pStyle w:val="Normal1"/>
        <w:numPr>
          <w:ilvl w:val="0"/>
          <w:numId w:val="10"/>
        </w:numPr>
        <w:spacing w:lineRule="auto" w:line="276" w:before="0" w:afterAutospacing="0" w:after="0"/>
        <w:ind w:hanging="360" w:left="720"/>
        <w:contextualSpacing/>
        <w:rPr/>
      </w:pPr>
      <w:r>
        <w:rPr>
          <w:rFonts w:eastAsia="Arial" w:cs="Arial" w:ascii="Arial" w:hAnsi="Arial"/>
        </w:rPr>
        <w:t>Elaboração de plano para avaliar riscos hídricos</w:t>
      </w:r>
    </w:p>
    <w:p>
      <w:pPr>
        <w:pStyle w:val="Normal1"/>
        <w:numPr>
          <w:ilvl w:val="0"/>
          <w:numId w:val="10"/>
        </w:numPr>
        <w:spacing w:lineRule="auto" w:line="276" w:before="0" w:afterAutospacing="0" w:after="0"/>
        <w:ind w:hanging="360" w:left="720"/>
        <w:contextualSpacing/>
        <w:rPr/>
      </w:pPr>
      <w:r>
        <w:rPr>
          <w:rFonts w:eastAsia="Arial" w:cs="Arial" w:ascii="Arial" w:hAnsi="Arial"/>
        </w:rPr>
        <w:t>Análise de dados da Plataforma Waterplan</w:t>
      </w:r>
    </w:p>
    <w:p>
      <w:pPr>
        <w:pStyle w:val="Normal1"/>
        <w:numPr>
          <w:ilvl w:val="0"/>
          <w:numId w:val="10"/>
        </w:numPr>
        <w:spacing w:lineRule="auto" w:line="276" w:before="0" w:after="0"/>
        <w:ind w:hanging="360" w:left="720"/>
        <w:contextualSpacing/>
        <w:rPr/>
      </w:pPr>
      <w:r>
        <w:rPr>
          <w:rFonts w:eastAsia="Arial" w:cs="Arial" w:ascii="Arial" w:hAnsi="Arial"/>
        </w:rPr>
        <w:t>Visita Técnica – Camaçari</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Recarrega Camaçari</w:t>
      </w:r>
    </w:p>
    <w:p>
      <w:pPr>
        <w:pStyle w:val="Normal1"/>
        <w:numPr>
          <w:ilvl w:val="0"/>
          <w:numId w:val="8"/>
        </w:numPr>
        <w:spacing w:lineRule="auto" w:line="276" w:before="0" w:afterAutospacing="0" w:after="0"/>
        <w:ind w:hanging="360" w:left="720"/>
        <w:contextualSpacing/>
        <w:rPr/>
      </w:pPr>
      <w:r>
        <w:rPr>
          <w:rFonts w:eastAsia="Arial" w:cs="Arial" w:ascii="Arial" w:hAnsi="Arial"/>
        </w:rPr>
        <w:t>Reflorestamento</w:t>
      </w:r>
    </w:p>
    <w:p>
      <w:pPr>
        <w:pStyle w:val="Normal1"/>
        <w:numPr>
          <w:ilvl w:val="0"/>
          <w:numId w:val="8"/>
        </w:numPr>
        <w:spacing w:lineRule="auto" w:line="276" w:before="0" w:afterAutospacing="0" w:after="0"/>
        <w:ind w:hanging="360" w:left="720"/>
        <w:contextualSpacing/>
        <w:rPr/>
      </w:pPr>
      <w:r>
        <w:rPr>
          <w:rFonts w:eastAsia="Arial" w:cs="Arial" w:ascii="Arial" w:hAnsi="Arial"/>
        </w:rPr>
        <w:t>Saneamento básico e sistema agroflorestal (SAF)</w:t>
      </w:r>
    </w:p>
    <w:p>
      <w:pPr>
        <w:pStyle w:val="Normal1"/>
        <w:numPr>
          <w:ilvl w:val="0"/>
          <w:numId w:val="8"/>
        </w:numPr>
        <w:spacing w:lineRule="auto" w:line="276" w:before="0" w:afterAutospacing="0" w:after="0"/>
        <w:ind w:hanging="360" w:left="720"/>
        <w:contextualSpacing/>
        <w:rPr/>
      </w:pPr>
      <w:r>
        <w:rPr>
          <w:rFonts w:eastAsia="Arial" w:cs="Arial" w:ascii="Arial" w:hAnsi="Arial"/>
        </w:rPr>
        <w:t>Estudo da área de reflorestamento</w:t>
      </w:r>
    </w:p>
    <w:p>
      <w:pPr>
        <w:pStyle w:val="Normal1"/>
        <w:numPr>
          <w:ilvl w:val="0"/>
          <w:numId w:val="8"/>
        </w:numPr>
        <w:spacing w:lineRule="auto" w:line="276" w:before="0" w:afterAutospacing="0" w:after="0"/>
        <w:ind w:hanging="360" w:left="720"/>
        <w:contextualSpacing/>
        <w:rPr/>
      </w:pPr>
      <w:r>
        <w:rPr>
          <w:rFonts w:eastAsia="Arial" w:cs="Arial" w:ascii="Arial" w:hAnsi="Arial"/>
        </w:rPr>
        <w:t>Plano de recarga Camaçari</w:t>
      </w:r>
    </w:p>
    <w:p>
      <w:pPr>
        <w:pStyle w:val="Normal1"/>
        <w:numPr>
          <w:ilvl w:val="0"/>
          <w:numId w:val="8"/>
        </w:numPr>
        <w:spacing w:lineRule="auto" w:line="276" w:before="0" w:afterAutospacing="0" w:after="0"/>
        <w:ind w:hanging="360" w:left="720"/>
        <w:contextualSpacing/>
        <w:rPr/>
      </w:pPr>
      <w:r>
        <w:rPr>
          <w:rFonts w:eastAsia="Arial" w:cs="Arial" w:ascii="Arial" w:hAnsi="Arial"/>
        </w:rPr>
        <w:t>Mobilização local e oficialização da comunidade rural de Santa Rita</w:t>
      </w:r>
    </w:p>
    <w:p>
      <w:pPr>
        <w:pStyle w:val="Normal1"/>
        <w:numPr>
          <w:ilvl w:val="0"/>
          <w:numId w:val="8"/>
        </w:numPr>
        <w:spacing w:lineRule="auto" w:line="276" w:before="0" w:after="0"/>
        <w:ind w:hanging="360" w:left="720"/>
        <w:contextualSpacing/>
        <w:rPr/>
      </w:pPr>
      <w:r>
        <w:rPr>
          <w:rFonts w:eastAsia="Arial" w:cs="Arial" w:ascii="Arial" w:hAnsi="Arial"/>
        </w:rPr>
        <w:t>Capacitação recarga</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both"/>
        <w:rPr/>
      </w:pPr>
      <w:r>
        <w:rPr>
          <w:rFonts w:eastAsia="Arial" w:cs="Arial" w:ascii="Arial" w:hAnsi="Arial"/>
          <w:b/>
          <w:bCs/>
        </w:rPr>
        <w:t>I.A.R.A</w:t>
      </w:r>
    </w:p>
    <w:p>
      <w:pPr>
        <w:pStyle w:val="Normal1"/>
        <w:numPr>
          <w:ilvl w:val="0"/>
          <w:numId w:val="21"/>
        </w:numPr>
        <w:spacing w:lineRule="auto" w:line="276" w:before="0" w:afterAutospacing="0" w:after="0"/>
        <w:ind w:hanging="360" w:left="720"/>
        <w:contextualSpacing/>
        <w:rPr/>
      </w:pPr>
      <w:r>
        <w:rPr>
          <w:rFonts w:eastAsia="Arial" w:cs="Arial" w:ascii="Arial" w:hAnsi="Arial"/>
        </w:rPr>
        <w:t>Metodologia I.A.R.A</w:t>
      </w:r>
    </w:p>
    <w:p>
      <w:pPr>
        <w:pStyle w:val="Normal1"/>
        <w:numPr>
          <w:ilvl w:val="0"/>
          <w:numId w:val="21"/>
        </w:numPr>
        <w:spacing w:lineRule="auto" w:line="276" w:before="0" w:after="0"/>
        <w:ind w:hanging="360" w:left="720"/>
        <w:contextualSpacing/>
        <w:rPr/>
      </w:pPr>
      <w:r>
        <w:rPr>
          <w:rFonts w:eastAsia="Arial" w:cs="Arial" w:ascii="Arial" w:hAnsi="Arial"/>
        </w:rPr>
        <w:t>Aplicação da metodologia</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Trilhas e Educação</w:t>
      </w:r>
    </w:p>
    <w:p>
      <w:pPr>
        <w:pStyle w:val="Normal1"/>
        <w:numPr>
          <w:ilvl w:val="0"/>
          <w:numId w:val="17"/>
        </w:numPr>
        <w:spacing w:lineRule="auto" w:line="276" w:before="0" w:afterAutospacing="0" w:after="0"/>
        <w:ind w:hanging="360" w:left="720"/>
        <w:contextualSpacing/>
        <w:rPr/>
      </w:pPr>
      <w:r>
        <w:rPr>
          <w:rFonts w:eastAsia="Arial" w:cs="Arial" w:ascii="Arial" w:hAnsi="Arial"/>
        </w:rPr>
        <w:t>Trilha ESG Salões</w:t>
      </w:r>
    </w:p>
    <w:p>
      <w:pPr>
        <w:pStyle w:val="Normal1"/>
        <w:numPr>
          <w:ilvl w:val="0"/>
          <w:numId w:val="17"/>
        </w:numPr>
        <w:spacing w:lineRule="auto" w:line="276" w:before="0" w:after="0"/>
        <w:ind w:hanging="360" w:left="720"/>
        <w:contextualSpacing/>
        <w:rPr/>
      </w:pPr>
      <w:r>
        <w:rPr>
          <w:rFonts w:eastAsia="Arial" w:cs="Arial" w:ascii="Arial" w:hAnsi="Arial"/>
        </w:rPr>
        <w:t>Planejamento - Engajamento de fornecedores</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Metodologia Reef Safe</w:t>
      </w:r>
    </w:p>
    <w:p>
      <w:pPr>
        <w:pStyle w:val="Normal1"/>
        <w:numPr>
          <w:ilvl w:val="0"/>
          <w:numId w:val="15"/>
        </w:numPr>
        <w:spacing w:lineRule="auto" w:line="276" w:before="0" w:afterAutospacing="0" w:after="0"/>
        <w:ind w:hanging="360" w:left="720"/>
        <w:contextualSpacing/>
        <w:rPr/>
      </w:pPr>
      <w:r>
        <w:rPr>
          <w:rFonts w:eastAsia="Arial" w:cs="Arial" w:ascii="Arial" w:hAnsi="Arial"/>
        </w:rPr>
        <w:t>Metodologia Reef Safe</w:t>
      </w:r>
    </w:p>
    <w:p>
      <w:pPr>
        <w:pStyle w:val="Normal1"/>
        <w:numPr>
          <w:ilvl w:val="0"/>
          <w:numId w:val="15"/>
        </w:numPr>
        <w:spacing w:lineRule="auto" w:line="276" w:before="0" w:after="0"/>
        <w:ind w:hanging="360" w:left="720"/>
        <w:contextualSpacing/>
        <w:rPr/>
      </w:pPr>
      <w:r>
        <w:rPr>
          <w:rFonts w:eastAsia="Arial" w:cs="Arial" w:ascii="Arial" w:hAnsi="Arial"/>
        </w:rPr>
        <w:t>Estudo de metodologia</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GB Recicla</w:t>
      </w:r>
    </w:p>
    <w:p>
      <w:pPr>
        <w:pStyle w:val="Normal1"/>
        <w:numPr>
          <w:ilvl w:val="0"/>
          <w:numId w:val="4"/>
        </w:numPr>
        <w:spacing w:lineRule="auto" w:line="276" w:before="0" w:afterAutospacing="0" w:after="0"/>
        <w:ind w:hanging="360" w:left="720"/>
        <w:contextualSpacing/>
        <w:rPr/>
      </w:pPr>
      <w:r>
        <w:rPr>
          <w:rFonts w:eastAsia="Arial" w:cs="Arial" w:ascii="Arial" w:hAnsi="Arial"/>
        </w:rPr>
        <w:t>Boti Recicla</w:t>
      </w:r>
    </w:p>
    <w:p>
      <w:pPr>
        <w:pStyle w:val="Normal1"/>
        <w:numPr>
          <w:ilvl w:val="0"/>
          <w:numId w:val="4"/>
        </w:numPr>
        <w:spacing w:lineRule="auto" w:line="276" w:before="0" w:afterAutospacing="0" w:after="0"/>
        <w:ind w:hanging="360" w:left="720"/>
        <w:contextualSpacing/>
        <w:rPr/>
      </w:pPr>
      <w:r>
        <w:rPr>
          <w:rFonts w:eastAsia="Arial" w:cs="Arial" w:ascii="Arial" w:hAnsi="Arial"/>
        </w:rPr>
        <w:t>Recicla Quem disse, Berenice?</w:t>
      </w:r>
    </w:p>
    <w:p>
      <w:pPr>
        <w:pStyle w:val="Normal1"/>
        <w:numPr>
          <w:ilvl w:val="0"/>
          <w:numId w:val="4"/>
        </w:numPr>
        <w:spacing w:lineRule="auto" w:line="276" w:before="0" w:afterAutospacing="0" w:after="0"/>
        <w:ind w:hanging="360" w:left="720"/>
        <w:contextualSpacing/>
        <w:rPr/>
      </w:pPr>
      <w:r>
        <w:rPr>
          <w:rFonts w:eastAsia="Arial" w:cs="Arial" w:ascii="Arial" w:hAnsi="Arial"/>
        </w:rPr>
        <w:t>Treinamento GB Recicla</w:t>
      </w:r>
    </w:p>
    <w:p>
      <w:pPr>
        <w:pStyle w:val="Normal1"/>
        <w:numPr>
          <w:ilvl w:val="0"/>
          <w:numId w:val="4"/>
        </w:numPr>
        <w:spacing w:lineRule="auto" w:line="276" w:before="0" w:afterAutospacing="0" w:after="0"/>
        <w:ind w:hanging="360" w:left="720"/>
        <w:contextualSpacing/>
        <w:rPr/>
      </w:pPr>
      <w:r>
        <w:rPr>
          <w:rFonts w:eastAsia="Arial" w:cs="Arial" w:ascii="Arial" w:hAnsi="Arial"/>
        </w:rPr>
        <w:t>Programa Logística Reversa Revendedoras</w:t>
      </w:r>
    </w:p>
    <w:p>
      <w:pPr>
        <w:pStyle w:val="Normal1"/>
        <w:numPr>
          <w:ilvl w:val="0"/>
          <w:numId w:val="4"/>
        </w:numPr>
        <w:spacing w:lineRule="auto" w:line="276" w:before="0" w:after="0"/>
        <w:ind w:hanging="360" w:left="720"/>
        <w:contextualSpacing/>
        <w:rPr/>
      </w:pPr>
      <w:r>
        <w:rPr>
          <w:rFonts w:eastAsia="Arial" w:cs="Arial" w:ascii="Arial" w:hAnsi="Arial"/>
        </w:rPr>
        <w:t>Planejamento Treinamento de economia circular</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Estação Preço de fábrica</w:t>
      </w:r>
    </w:p>
    <w:p>
      <w:pPr>
        <w:pStyle w:val="Normal1"/>
        <w:numPr>
          <w:ilvl w:val="0"/>
          <w:numId w:val="20"/>
        </w:numPr>
        <w:spacing w:lineRule="auto" w:line="276" w:before="0" w:afterAutospacing="0" w:after="0"/>
        <w:ind w:hanging="360" w:left="720"/>
        <w:contextualSpacing/>
        <w:rPr/>
      </w:pPr>
      <w:r>
        <w:rPr>
          <w:rFonts w:eastAsia="Arial" w:cs="Arial" w:ascii="Arial" w:hAnsi="Arial"/>
        </w:rPr>
        <w:t>Manutenções das Estações Preço de Fábrica</w:t>
      </w:r>
    </w:p>
    <w:p>
      <w:pPr>
        <w:pStyle w:val="Normal1"/>
        <w:numPr>
          <w:ilvl w:val="0"/>
          <w:numId w:val="20"/>
        </w:numPr>
        <w:spacing w:lineRule="auto" w:line="276" w:before="0" w:afterAutospacing="0" w:after="0"/>
        <w:ind w:hanging="360" w:left="720"/>
        <w:contextualSpacing/>
        <w:rPr/>
      </w:pPr>
      <w:r>
        <w:rPr>
          <w:rFonts w:eastAsia="Arial" w:cs="Arial" w:ascii="Arial" w:hAnsi="Arial"/>
        </w:rPr>
        <w:t>Plano de Expansão</w:t>
      </w:r>
    </w:p>
    <w:p>
      <w:pPr>
        <w:pStyle w:val="Normal1"/>
        <w:numPr>
          <w:ilvl w:val="0"/>
          <w:numId w:val="20"/>
        </w:numPr>
        <w:spacing w:lineRule="auto" w:line="276" w:before="0" w:after="0"/>
        <w:ind w:hanging="360" w:left="720"/>
        <w:contextualSpacing/>
        <w:rPr/>
      </w:pPr>
      <w:r>
        <w:rPr>
          <w:rFonts w:eastAsia="Arial" w:cs="Arial" w:ascii="Arial" w:hAnsi="Arial"/>
        </w:rPr>
        <w:t>Material pós-consum</w:t>
      </w:r>
      <w:r>
        <w:rPr>
          <w:rFonts w:eastAsia="Arial" w:cs="Arial" w:ascii="Arial" w:hAnsi="Arial"/>
        </w:rPr>
        <w:t>o</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Ações/ Iniciativas da Fábrica</w:t>
      </w:r>
    </w:p>
    <w:p>
      <w:pPr>
        <w:pStyle w:val="Normal1"/>
        <w:numPr>
          <w:ilvl w:val="0"/>
          <w:numId w:val="19"/>
        </w:numPr>
        <w:spacing w:lineRule="auto" w:line="276" w:before="0" w:afterAutospacing="0" w:after="0"/>
        <w:ind w:hanging="360" w:left="720"/>
        <w:contextualSpacing/>
        <w:rPr/>
      </w:pPr>
      <w:r>
        <w:rPr>
          <w:rFonts w:eastAsia="Arial" w:cs="Arial" w:ascii="Arial" w:hAnsi="Arial"/>
        </w:rPr>
        <w:t>Contínua - Ação Meio Ambiente</w:t>
      </w:r>
    </w:p>
    <w:p>
      <w:pPr>
        <w:pStyle w:val="Normal1"/>
        <w:numPr>
          <w:ilvl w:val="0"/>
          <w:numId w:val="19"/>
        </w:numPr>
        <w:spacing w:lineRule="auto" w:line="276" w:before="0" w:afterAutospacing="0" w:after="0"/>
        <w:ind w:hanging="360" w:left="720"/>
        <w:contextualSpacing/>
        <w:rPr/>
      </w:pPr>
      <w:r>
        <w:rPr>
          <w:rFonts w:eastAsia="Arial" w:cs="Arial" w:ascii="Arial" w:hAnsi="Arial"/>
        </w:rPr>
        <w:t>Contínua - Ação dia da Agua</w:t>
      </w:r>
    </w:p>
    <w:p>
      <w:pPr>
        <w:pStyle w:val="Normal1"/>
        <w:numPr>
          <w:ilvl w:val="0"/>
          <w:numId w:val="19"/>
        </w:numPr>
        <w:spacing w:lineRule="auto" w:line="276" w:before="0" w:afterAutospacing="0" w:after="0"/>
        <w:ind w:hanging="360" w:left="720"/>
        <w:contextualSpacing/>
        <w:rPr/>
      </w:pPr>
      <w:r>
        <w:rPr>
          <w:rFonts w:eastAsia="Arial" w:cs="Arial" w:ascii="Arial" w:hAnsi="Arial"/>
        </w:rPr>
        <w:t>Integração de Meio Ambiente</w:t>
      </w:r>
    </w:p>
    <w:p>
      <w:pPr>
        <w:pStyle w:val="Normal1"/>
        <w:numPr>
          <w:ilvl w:val="0"/>
          <w:numId w:val="19"/>
        </w:numPr>
        <w:spacing w:lineRule="auto" w:line="276" w:before="0" w:afterAutospacing="0" w:after="0"/>
        <w:ind w:hanging="360" w:left="720"/>
        <w:contextualSpacing/>
        <w:rPr/>
      </w:pPr>
      <w:r>
        <w:rPr>
          <w:rFonts w:eastAsia="Arial" w:cs="Arial" w:ascii="Arial" w:hAnsi="Arial"/>
        </w:rPr>
        <w:t>DDCs (Diálogos Diários de Conscientização)</w:t>
      </w:r>
    </w:p>
    <w:p>
      <w:pPr>
        <w:pStyle w:val="Normal1"/>
        <w:numPr>
          <w:ilvl w:val="0"/>
          <w:numId w:val="19"/>
        </w:numPr>
        <w:spacing w:lineRule="auto" w:line="276" w:before="0" w:afterAutospacing="0" w:after="0"/>
        <w:ind w:hanging="360" w:left="720"/>
        <w:contextualSpacing/>
        <w:rPr/>
      </w:pPr>
      <w:r>
        <w:rPr>
          <w:rFonts w:eastAsia="Arial" w:cs="Arial" w:ascii="Arial" w:hAnsi="Arial"/>
        </w:rPr>
        <w:t>Paradões</w:t>
      </w:r>
    </w:p>
    <w:p>
      <w:pPr>
        <w:pStyle w:val="Normal1"/>
        <w:numPr>
          <w:ilvl w:val="0"/>
          <w:numId w:val="19"/>
        </w:numPr>
        <w:spacing w:lineRule="auto" w:line="276" w:before="0" w:after="0"/>
        <w:ind w:hanging="360" w:left="720"/>
        <w:contextualSpacing/>
        <w:rPr/>
      </w:pPr>
      <w:r>
        <w:rPr>
          <w:rFonts w:eastAsia="Arial" w:cs="Arial" w:ascii="Arial" w:hAnsi="Arial"/>
        </w:rPr>
        <w:t>Semana do Cuidado Integral</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RNSM - Membro do Programa de Monitoramento de Grandes Mamíferos na Grande Reserva da Mata Atlântica</w:t>
      </w:r>
    </w:p>
    <w:p>
      <w:pPr>
        <w:pStyle w:val="Normal1"/>
        <w:numPr>
          <w:ilvl w:val="0"/>
          <w:numId w:val="23"/>
        </w:numPr>
        <w:spacing w:lineRule="auto" w:line="276" w:before="0" w:afterAutospacing="0" w:after="0"/>
        <w:ind w:hanging="360" w:left="720"/>
        <w:contextualSpacing/>
        <w:rPr/>
      </w:pPr>
      <w:r>
        <w:rPr>
          <w:rFonts w:eastAsia="Arial" w:cs="Arial" w:ascii="Arial" w:hAnsi="Arial"/>
        </w:rPr>
        <w:t>Realizar anualmente a coleta sistemática dos dados fotográficos de registro de fauna</w:t>
      </w:r>
    </w:p>
    <w:p>
      <w:pPr>
        <w:pStyle w:val="Normal1"/>
        <w:numPr>
          <w:ilvl w:val="0"/>
          <w:numId w:val="23"/>
        </w:numPr>
        <w:spacing w:lineRule="auto" w:line="276" w:before="0" w:after="0"/>
        <w:ind w:hanging="360" w:left="720"/>
        <w:contextualSpacing/>
        <w:rPr/>
      </w:pPr>
      <w:r>
        <w:rPr>
          <w:rFonts w:eastAsia="Arial" w:cs="Arial" w:ascii="Arial" w:hAnsi="Arial"/>
        </w:rPr>
        <w:t>Disponibilização de dados da fauna da RNSM para o banco da Rede de Monitoramento</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Apoio a Políticas Públicas</w:t>
      </w:r>
    </w:p>
    <w:p>
      <w:pPr>
        <w:pStyle w:val="Normal1"/>
        <w:numPr>
          <w:ilvl w:val="0"/>
          <w:numId w:val="22"/>
        </w:numPr>
        <w:spacing w:lineRule="auto" w:line="276" w:before="0" w:after="0"/>
        <w:ind w:hanging="360" w:left="720"/>
        <w:contextualSpacing/>
        <w:rPr/>
      </w:pPr>
      <w:r>
        <w:rPr>
          <w:rFonts w:eastAsia="Arial" w:cs="Arial" w:ascii="Arial" w:hAnsi="Arial"/>
        </w:rPr>
        <w:t>12/2025 - Regulamentação do programa municipal de PSA de São José dos Pinhais</w:t>
      </w:r>
    </w:p>
    <w:p>
      <w:pPr>
        <w:pStyle w:val="Normal1"/>
        <w:spacing w:lineRule="auto" w:line="276" w:before="0" w:after="0"/>
        <w:ind w:hanging="36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Movimento Viva Água Miringuava</w:t>
      </w:r>
    </w:p>
    <w:p>
      <w:pPr>
        <w:pStyle w:val="Normal1"/>
        <w:numPr>
          <w:ilvl w:val="0"/>
          <w:numId w:val="9"/>
        </w:numPr>
        <w:spacing w:lineRule="auto" w:line="276" w:before="0" w:afterAutospacing="0" w:after="0"/>
        <w:ind w:hanging="360" w:left="720"/>
        <w:contextualSpacing/>
        <w:rPr/>
      </w:pPr>
      <w:r>
        <w:rPr>
          <w:rFonts w:eastAsia="Arial" w:cs="Arial" w:ascii="Arial" w:hAnsi="Arial"/>
        </w:rPr>
        <w:t>GUAVIVA - Comercialização de produtos agrícolas sustentáveis</w:t>
      </w:r>
    </w:p>
    <w:p>
      <w:pPr>
        <w:pStyle w:val="Normal1"/>
        <w:numPr>
          <w:ilvl w:val="0"/>
          <w:numId w:val="9"/>
        </w:numPr>
        <w:spacing w:lineRule="auto" w:line="276" w:before="0" w:afterAutospacing="0" w:after="0"/>
        <w:ind w:hanging="360" w:left="720"/>
        <w:contextualSpacing/>
        <w:rPr/>
      </w:pPr>
      <w:r>
        <w:rPr>
          <w:rFonts w:eastAsia="Arial" w:cs="Arial" w:ascii="Arial" w:hAnsi="Arial"/>
        </w:rPr>
        <w:t>Destino Miringuava - Capacitação e criação do turismo responsável</w:t>
      </w:r>
    </w:p>
    <w:p>
      <w:pPr>
        <w:pStyle w:val="Normal1"/>
        <w:numPr>
          <w:ilvl w:val="0"/>
          <w:numId w:val="9"/>
        </w:numPr>
        <w:spacing w:lineRule="auto" w:line="276" w:before="0" w:afterAutospacing="0" w:after="0"/>
        <w:ind w:hanging="360" w:left="720"/>
        <w:contextualSpacing/>
        <w:rPr/>
      </w:pPr>
      <w:r>
        <w:rPr>
          <w:rFonts w:eastAsia="Arial" w:cs="Arial" w:ascii="Arial" w:hAnsi="Arial"/>
        </w:rPr>
        <w:t>Plano de restauração (Até 2026)</w:t>
      </w:r>
    </w:p>
    <w:p>
      <w:pPr>
        <w:pStyle w:val="Normal1"/>
        <w:numPr>
          <w:ilvl w:val="0"/>
          <w:numId w:val="9"/>
        </w:numPr>
        <w:spacing w:lineRule="auto" w:line="276" w:before="0" w:after="0"/>
        <w:ind w:hanging="360" w:left="720"/>
        <w:contextualSpacing/>
        <w:rPr/>
      </w:pPr>
      <w:r>
        <w:rPr>
          <w:rFonts w:eastAsia="Arial" w:cs="Arial" w:ascii="Arial" w:hAnsi="Arial"/>
        </w:rPr>
        <w:t>Restauração das áreas/propriedades 2025-2026</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ind w:hanging="0" w:left="0"/>
        <w:contextualSpacing/>
        <w:jc w:val="left"/>
        <w:rPr/>
      </w:pPr>
      <w:r>
        <w:rPr>
          <w:rFonts w:eastAsia="Arial" w:cs="Arial" w:ascii="Arial" w:hAnsi="Arial"/>
          <w:b/>
          <w:bCs/>
        </w:rPr>
        <w:t>[RNSM] Implementação do Plano de Manejo da Reserva Natural Salto Morato (RNSM)</w:t>
      </w:r>
    </w:p>
    <w:p>
      <w:pPr>
        <w:pStyle w:val="Normal1"/>
        <w:numPr>
          <w:ilvl w:val="0"/>
          <w:numId w:val="9"/>
        </w:numPr>
        <w:spacing w:lineRule="auto" w:line="276" w:before="0" w:afterAutospacing="0" w:after="0"/>
        <w:ind w:hanging="360" w:left="720"/>
        <w:contextualSpacing/>
        <w:jc w:val="both"/>
        <w:rPr/>
      </w:pPr>
      <w:r>
        <w:rPr>
          <w:rFonts w:eastAsia="Arial" w:cs="Arial" w:ascii="Arial" w:hAnsi="Arial"/>
        </w:rPr>
        <w:t>Implementar e operacionalizar as atividades de manutenção de INFRAESTRUTURAS. (Dentro RPPN)</w:t>
      </w:r>
    </w:p>
    <w:p>
      <w:pPr>
        <w:pStyle w:val="Normal1"/>
        <w:numPr>
          <w:ilvl w:val="0"/>
          <w:numId w:val="9"/>
        </w:numPr>
        <w:spacing w:lineRule="auto" w:line="276" w:before="0" w:afterAutospacing="0" w:after="0"/>
        <w:ind w:hanging="360" w:left="720"/>
        <w:contextualSpacing/>
        <w:rPr/>
      </w:pPr>
      <w:r>
        <w:rPr>
          <w:rFonts w:eastAsia="Arial" w:cs="Arial" w:ascii="Arial" w:hAnsi="Arial"/>
        </w:rPr>
        <w:t>Implementar e operacionalizar as atividades de manutenção de INFRAESTRUTURAS. (APA de Guaraqueçaba)</w:t>
      </w:r>
    </w:p>
    <w:p>
      <w:pPr>
        <w:pStyle w:val="Normal1"/>
        <w:numPr>
          <w:ilvl w:val="0"/>
          <w:numId w:val="9"/>
        </w:numPr>
        <w:spacing w:lineRule="auto" w:line="276" w:before="0" w:afterAutospacing="0" w:after="0"/>
        <w:ind w:hanging="360" w:left="720"/>
        <w:contextualSpacing/>
        <w:rPr/>
      </w:pPr>
      <w:r>
        <w:rPr>
          <w:rFonts w:eastAsia="Arial" w:cs="Arial" w:ascii="Arial" w:hAnsi="Arial"/>
        </w:rPr>
        <w:t>Proteção do Patrimônio Natural da RNSM (Patrulhamento dentro da RPPN)</w:t>
      </w:r>
    </w:p>
    <w:p>
      <w:pPr>
        <w:pStyle w:val="Normal1"/>
        <w:numPr>
          <w:ilvl w:val="0"/>
          <w:numId w:val="9"/>
        </w:numPr>
        <w:spacing w:lineRule="auto" w:line="276" w:before="0" w:afterAutospacing="0" w:after="0"/>
        <w:ind w:hanging="360" w:left="720"/>
        <w:contextualSpacing/>
        <w:rPr/>
      </w:pPr>
      <w:r>
        <w:rPr>
          <w:rFonts w:eastAsia="Arial" w:cs="Arial" w:ascii="Arial" w:hAnsi="Arial"/>
        </w:rPr>
        <w:t>Proteção do Patrimônio Natural da RNSM (Patrulhamento dentro da APA de Guaraqueçaba)</w:t>
      </w:r>
    </w:p>
    <w:p>
      <w:pPr>
        <w:pStyle w:val="Normal1"/>
        <w:numPr>
          <w:ilvl w:val="0"/>
          <w:numId w:val="9"/>
        </w:numPr>
        <w:spacing w:lineRule="auto" w:line="276" w:before="0" w:afterAutospacing="0" w:after="0"/>
        <w:ind w:hanging="360" w:left="720"/>
        <w:contextualSpacing/>
        <w:rPr/>
      </w:pPr>
      <w:r>
        <w:rPr>
          <w:rFonts w:eastAsia="Arial" w:cs="Arial" w:ascii="Arial" w:hAnsi="Arial"/>
        </w:rPr>
        <w:t>Proteção do Patrimônio Natural da RNSM (Restauração de Integridade Ecológica)</w:t>
      </w:r>
    </w:p>
    <w:p>
      <w:pPr>
        <w:pStyle w:val="Normal1"/>
        <w:numPr>
          <w:ilvl w:val="0"/>
          <w:numId w:val="9"/>
        </w:numPr>
        <w:spacing w:lineRule="auto" w:line="276" w:before="0" w:afterAutospacing="0" w:after="0"/>
        <w:ind w:hanging="360" w:left="720"/>
        <w:contextualSpacing/>
        <w:rPr/>
      </w:pPr>
      <w:r>
        <w:rPr>
          <w:rFonts w:eastAsia="Arial" w:cs="Arial" w:ascii="Arial" w:hAnsi="Arial"/>
        </w:rPr>
        <w:t>Planejamento da Restauração de Integridade ecológica</w:t>
      </w:r>
    </w:p>
    <w:p>
      <w:pPr>
        <w:pStyle w:val="Normal1"/>
        <w:numPr>
          <w:ilvl w:val="0"/>
          <w:numId w:val="9"/>
        </w:numPr>
        <w:spacing w:lineRule="auto" w:line="276" w:before="0" w:afterAutospacing="0" w:after="0"/>
        <w:ind w:hanging="360" w:left="720"/>
        <w:contextualSpacing/>
        <w:rPr/>
      </w:pPr>
      <w:r>
        <w:rPr>
          <w:rFonts w:eastAsia="Arial" w:cs="Arial" w:ascii="Arial" w:hAnsi="Arial"/>
        </w:rPr>
        <w:t>Educação Ambiental na RNSM</w:t>
      </w:r>
    </w:p>
    <w:p>
      <w:pPr>
        <w:pStyle w:val="Normal1"/>
        <w:numPr>
          <w:ilvl w:val="0"/>
          <w:numId w:val="9"/>
        </w:numPr>
        <w:spacing w:lineRule="auto" w:line="276" w:before="0" w:afterAutospacing="0" w:after="0"/>
        <w:ind w:hanging="360" w:left="720"/>
        <w:contextualSpacing/>
        <w:rPr/>
      </w:pPr>
      <w:r>
        <w:rPr>
          <w:rFonts w:eastAsia="Arial" w:cs="Arial" w:ascii="Arial" w:hAnsi="Arial"/>
        </w:rPr>
        <w:t>Promoção de Ciência Cidadã na RNSM</w:t>
      </w:r>
    </w:p>
    <w:p>
      <w:pPr>
        <w:pStyle w:val="Normal1"/>
        <w:numPr>
          <w:ilvl w:val="0"/>
          <w:numId w:val="9"/>
        </w:numPr>
        <w:spacing w:lineRule="auto" w:line="276" w:before="0" w:afterAutospacing="0" w:after="0"/>
        <w:ind w:hanging="360" w:left="720"/>
        <w:contextualSpacing/>
        <w:rPr/>
      </w:pPr>
      <w:r>
        <w:rPr>
          <w:rFonts w:eastAsia="Arial" w:cs="Arial" w:ascii="Arial" w:hAnsi="Arial"/>
        </w:rPr>
        <w:t>Gestão do Programa de Voluntariado da RNSM</w:t>
      </w:r>
    </w:p>
    <w:p>
      <w:pPr>
        <w:pStyle w:val="Normal1"/>
        <w:numPr>
          <w:ilvl w:val="0"/>
          <w:numId w:val="9"/>
        </w:numPr>
        <w:spacing w:lineRule="auto" w:line="276" w:before="0" w:afterAutospacing="0" w:after="0"/>
        <w:ind w:hanging="360" w:left="720"/>
        <w:contextualSpacing/>
        <w:rPr/>
      </w:pPr>
      <w:r>
        <w:rPr>
          <w:rFonts w:eastAsia="Arial" w:cs="Arial" w:ascii="Arial" w:hAnsi="Arial"/>
        </w:rPr>
        <w:t>Delimitação e demarcação territorial da RNSM (dentro da RPPN)</w:t>
      </w:r>
    </w:p>
    <w:p>
      <w:pPr>
        <w:pStyle w:val="Normal1"/>
        <w:numPr>
          <w:ilvl w:val="0"/>
          <w:numId w:val="9"/>
        </w:numPr>
        <w:spacing w:lineRule="auto" w:line="276" w:before="0" w:afterAutospacing="0" w:after="0"/>
        <w:ind w:hanging="360" w:left="720"/>
        <w:contextualSpacing/>
        <w:rPr/>
      </w:pPr>
      <w:r>
        <w:rPr>
          <w:rFonts w:eastAsia="Arial" w:cs="Arial" w:ascii="Arial" w:hAnsi="Arial"/>
        </w:rPr>
        <w:t>Delimitação e demarcação territorial da RNSM (dentro da APA de Guaraqueçaba)</w:t>
      </w:r>
    </w:p>
    <w:p>
      <w:pPr>
        <w:pStyle w:val="Normal1"/>
        <w:numPr>
          <w:ilvl w:val="0"/>
          <w:numId w:val="9"/>
        </w:numPr>
        <w:spacing w:lineRule="auto" w:line="276" w:before="0" w:afterAutospacing="0" w:after="0"/>
        <w:ind w:hanging="360" w:left="720"/>
        <w:contextualSpacing/>
        <w:rPr/>
      </w:pPr>
      <w:r>
        <w:rPr>
          <w:rFonts w:eastAsia="Arial" w:cs="Arial" w:ascii="Arial" w:hAnsi="Arial"/>
        </w:rPr>
        <w:t>Implementar e operacionalizar as atividades de manutenção de TRILHAS de visitação e patrulhamento. (APA de Guaraqueçaba)</w:t>
      </w:r>
    </w:p>
    <w:p>
      <w:pPr>
        <w:pStyle w:val="Normal1"/>
        <w:numPr>
          <w:ilvl w:val="0"/>
          <w:numId w:val="9"/>
        </w:numPr>
        <w:spacing w:lineRule="auto" w:line="276" w:before="0" w:after="0"/>
        <w:ind w:hanging="360" w:left="720"/>
        <w:contextualSpacing/>
        <w:rPr/>
      </w:pPr>
      <w:r>
        <w:rPr>
          <w:rFonts w:eastAsia="Arial" w:cs="Arial" w:ascii="Arial" w:hAnsi="Arial"/>
        </w:rPr>
        <w:t>Instalação e manutenção da sinalização da RNSM</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both"/>
        <w:rPr/>
      </w:pPr>
      <w:r>
        <w:rPr>
          <w:rFonts w:eastAsia="Arial" w:cs="Arial" w:ascii="Arial" w:hAnsi="Arial"/>
          <w:b/>
          <w:bCs/>
        </w:rPr>
        <w:t>[FGB] Painel de Turismo de Base Comunitária (TBC) da Zona Costeira da Bahia</w:t>
      </w:r>
    </w:p>
    <w:p>
      <w:pPr>
        <w:pStyle w:val="Normal1"/>
        <w:numPr>
          <w:ilvl w:val="0"/>
          <w:numId w:val="24"/>
        </w:numPr>
        <w:spacing w:lineRule="auto" w:line="276" w:before="0" w:afterAutospacing="0" w:after="0"/>
        <w:ind w:hanging="360" w:left="720"/>
        <w:contextualSpacing/>
        <w:rPr/>
      </w:pPr>
      <w:r>
        <w:rPr>
          <w:rFonts w:eastAsia="Arial" w:cs="Arial" w:ascii="Arial" w:hAnsi="Arial"/>
        </w:rPr>
        <w:t>Iniciativas de Turismo de Base Comunitária na Zona Costeira da Bahia</w:t>
      </w:r>
    </w:p>
    <w:p>
      <w:pPr>
        <w:pStyle w:val="Normal1"/>
        <w:numPr>
          <w:ilvl w:val="0"/>
          <w:numId w:val="24"/>
        </w:numPr>
        <w:spacing w:lineRule="auto" w:line="276" w:before="0" w:afterAutospacing="0" w:after="0"/>
        <w:ind w:hanging="360" w:left="720"/>
        <w:contextualSpacing/>
        <w:rPr/>
      </w:pPr>
      <w:r>
        <w:rPr>
          <w:rFonts w:eastAsia="Arial" w:cs="Arial" w:ascii="Arial" w:hAnsi="Arial"/>
        </w:rPr>
        <w:t>Aumentar o impacto positivo do TBC para conservação da natureza</w:t>
      </w:r>
    </w:p>
    <w:p>
      <w:pPr>
        <w:pStyle w:val="Normal1"/>
        <w:numPr>
          <w:ilvl w:val="0"/>
          <w:numId w:val="24"/>
        </w:numPr>
        <w:spacing w:lineRule="auto" w:line="276" w:before="0" w:after="0"/>
        <w:ind w:hanging="360" w:left="720"/>
        <w:contextualSpacing/>
        <w:rPr/>
      </w:pPr>
      <w:r>
        <w:rPr>
          <w:rFonts w:eastAsia="Arial" w:cs="Arial" w:ascii="Arial" w:hAnsi="Arial"/>
        </w:rPr>
        <w:t>Capacidade de alcance do projeto por meio de parcerias estratégicas</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[FGB] Rede de Cidadania Quilombola_Renda e Sustentabilidade</w:t>
      </w:r>
    </w:p>
    <w:p>
      <w:pPr>
        <w:pStyle w:val="Normal1"/>
        <w:numPr>
          <w:ilvl w:val="0"/>
          <w:numId w:val="11"/>
        </w:numPr>
        <w:spacing w:lineRule="auto" w:line="276" w:before="0" w:afterAutospacing="0" w:after="0"/>
        <w:ind w:hanging="360" w:left="720"/>
        <w:contextualSpacing/>
        <w:rPr/>
      </w:pPr>
      <w:r>
        <w:rPr>
          <w:rFonts w:eastAsia="Arial" w:cs="Arial" w:ascii="Arial" w:hAnsi="Arial"/>
        </w:rPr>
        <w:t>Manejo sustentável no cultivo de ostras</w:t>
      </w:r>
    </w:p>
    <w:p>
      <w:pPr>
        <w:pStyle w:val="Normal1"/>
        <w:numPr>
          <w:ilvl w:val="0"/>
          <w:numId w:val="11"/>
        </w:numPr>
        <w:spacing w:lineRule="auto" w:line="276" w:before="0" w:afterAutospacing="0" w:after="0"/>
        <w:ind w:hanging="360" w:left="720"/>
        <w:contextualSpacing/>
        <w:rPr/>
      </w:pPr>
      <w:r>
        <w:rPr>
          <w:rFonts w:eastAsia="Arial" w:cs="Arial" w:ascii="Arial" w:hAnsi="Arial"/>
        </w:rPr>
        <w:t>Criação e implementação do Plano de Manejo Sustentável do Sururu</w:t>
      </w:r>
    </w:p>
    <w:p>
      <w:pPr>
        <w:pStyle w:val="Normal1"/>
        <w:numPr>
          <w:ilvl w:val="0"/>
          <w:numId w:val="11"/>
        </w:numPr>
        <w:spacing w:lineRule="auto" w:line="276" w:before="0" w:afterAutospacing="0" w:after="0"/>
        <w:ind w:hanging="360" w:left="720"/>
        <w:contextualSpacing/>
        <w:rPr/>
      </w:pPr>
      <w:r>
        <w:rPr>
          <w:rFonts w:eastAsia="Arial" w:cs="Arial" w:ascii="Arial" w:hAnsi="Arial"/>
        </w:rPr>
        <w:t>Melhorias de infraestrutura para os locais de cultivo de ostra</w:t>
      </w:r>
    </w:p>
    <w:p>
      <w:pPr>
        <w:pStyle w:val="Normal1"/>
        <w:numPr>
          <w:ilvl w:val="0"/>
          <w:numId w:val="11"/>
        </w:numPr>
        <w:spacing w:lineRule="auto" w:line="276" w:before="0" w:after="0"/>
        <w:ind w:hanging="360" w:left="720"/>
        <w:contextualSpacing/>
        <w:rPr/>
      </w:pPr>
      <w:r>
        <w:rPr>
          <w:rFonts w:eastAsia="Arial" w:cs="Arial" w:ascii="Arial" w:hAnsi="Arial"/>
        </w:rPr>
        <w:t>Turismo étnico comunitário sustentável</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[FGB] Saberes costeiros: turismo comunitario-sustentavel</w:t>
      </w:r>
    </w:p>
    <w:p>
      <w:pPr>
        <w:pStyle w:val="Normal1"/>
        <w:numPr>
          <w:ilvl w:val="0"/>
          <w:numId w:val="16"/>
        </w:numPr>
        <w:spacing w:lineRule="auto" w:line="276" w:before="0" w:afterAutospacing="0" w:after="0"/>
        <w:ind w:hanging="360" w:left="720"/>
        <w:contextualSpacing/>
        <w:rPr/>
      </w:pPr>
      <w:r>
        <w:rPr>
          <w:rFonts w:eastAsia="Arial" w:cs="Arial" w:ascii="Arial" w:hAnsi="Arial"/>
        </w:rPr>
        <w:t>Inclusão da atividade de avistamento de aves no roteiro.</w:t>
      </w:r>
    </w:p>
    <w:p>
      <w:pPr>
        <w:pStyle w:val="Normal1"/>
        <w:numPr>
          <w:ilvl w:val="0"/>
          <w:numId w:val="16"/>
        </w:numPr>
        <w:spacing w:lineRule="auto" w:line="276" w:before="0" w:afterAutospacing="0" w:after="0"/>
        <w:ind w:hanging="360" w:left="720"/>
        <w:contextualSpacing/>
        <w:rPr/>
      </w:pPr>
      <w:r>
        <w:rPr>
          <w:rFonts w:eastAsia="Arial" w:cs="Arial" w:ascii="Arial" w:hAnsi="Arial"/>
        </w:rPr>
        <w:t>Capacitação de atores da cadeia de produtos da sociobiodiversidade.</w:t>
      </w:r>
    </w:p>
    <w:p>
      <w:pPr>
        <w:pStyle w:val="Normal1"/>
        <w:numPr>
          <w:ilvl w:val="0"/>
          <w:numId w:val="16"/>
        </w:numPr>
        <w:spacing w:lineRule="auto" w:line="276" w:before="0" w:afterAutospacing="0" w:after="0"/>
        <w:ind w:hanging="360" w:left="720"/>
        <w:contextualSpacing/>
        <w:rPr/>
      </w:pPr>
      <w:r>
        <w:rPr>
          <w:rFonts w:eastAsia="Arial" w:cs="Arial" w:ascii="Arial" w:hAnsi="Arial"/>
        </w:rPr>
        <w:t>Publicação do Guia "Aves do Quilombo do Jatimane"</w:t>
      </w:r>
    </w:p>
    <w:p>
      <w:pPr>
        <w:pStyle w:val="Normal1"/>
        <w:numPr>
          <w:ilvl w:val="0"/>
          <w:numId w:val="16"/>
        </w:numPr>
        <w:spacing w:lineRule="auto" w:line="276" w:before="0" w:afterAutospacing="0" w:after="0"/>
        <w:ind w:hanging="360" w:left="720"/>
        <w:contextualSpacing/>
        <w:rPr/>
      </w:pPr>
      <w:r>
        <w:rPr>
          <w:rFonts w:eastAsia="Arial" w:cs="Arial" w:ascii="Arial" w:hAnsi="Arial"/>
        </w:rPr>
        <w:t>Potencialização da cadeia da sociobiodiversidade da piaçava.</w:t>
      </w:r>
    </w:p>
    <w:p>
      <w:pPr>
        <w:pStyle w:val="Normal1"/>
        <w:numPr>
          <w:ilvl w:val="0"/>
          <w:numId w:val="16"/>
        </w:numPr>
        <w:spacing w:lineRule="auto" w:line="276" w:before="0" w:after="0"/>
        <w:ind w:hanging="360" w:left="720"/>
        <w:contextualSpacing/>
        <w:rPr/>
      </w:pPr>
      <w:r>
        <w:rPr>
          <w:rFonts w:eastAsia="Arial" w:cs="Arial" w:ascii="Arial" w:hAnsi="Arial"/>
        </w:rPr>
        <w:t>Fomentar o turismo comunitário na região</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Workshop Mudanças Climáticas</w:t>
      </w:r>
    </w:p>
    <w:p>
      <w:pPr>
        <w:pStyle w:val="Normal1"/>
        <w:numPr>
          <w:ilvl w:val="0"/>
          <w:numId w:val="14"/>
        </w:numPr>
        <w:spacing w:lineRule="auto" w:line="276" w:before="0" w:afterAutospacing="0" w:after="0"/>
        <w:ind w:hanging="360" w:left="720"/>
        <w:contextualSpacing/>
        <w:rPr/>
      </w:pPr>
      <w:r>
        <w:rPr>
          <w:rFonts w:eastAsia="Arial" w:cs="Arial" w:ascii="Arial" w:hAnsi="Arial"/>
        </w:rPr>
        <w:t>Business Case Troca de Caldeiras</w:t>
      </w:r>
    </w:p>
    <w:p>
      <w:pPr>
        <w:pStyle w:val="Normal1"/>
        <w:numPr>
          <w:ilvl w:val="0"/>
          <w:numId w:val="14"/>
        </w:numPr>
        <w:spacing w:lineRule="auto" w:line="276" w:before="0" w:afterAutospacing="0" w:after="0"/>
        <w:ind w:hanging="360" w:left="720"/>
        <w:contextualSpacing/>
        <w:rPr/>
      </w:pPr>
      <w:r>
        <w:rPr>
          <w:rFonts w:eastAsia="Arial" w:cs="Arial" w:ascii="Arial" w:hAnsi="Arial"/>
        </w:rPr>
        <w:t>Workshop Descarbonização de Transportes</w:t>
      </w:r>
    </w:p>
    <w:p>
      <w:pPr>
        <w:pStyle w:val="Normal1"/>
        <w:numPr>
          <w:ilvl w:val="0"/>
          <w:numId w:val="14"/>
        </w:numPr>
        <w:spacing w:lineRule="auto" w:line="276" w:before="0" w:afterAutospacing="0" w:after="0"/>
        <w:ind w:hanging="360" w:left="720"/>
        <w:contextualSpacing/>
        <w:rPr/>
      </w:pPr>
      <w:r>
        <w:rPr>
          <w:rFonts w:eastAsia="Arial" w:cs="Arial" w:ascii="Arial" w:hAnsi="Arial"/>
        </w:rPr>
        <w:t>Workshop de Adaptação Climática</w:t>
      </w:r>
    </w:p>
    <w:p>
      <w:pPr>
        <w:pStyle w:val="Normal1"/>
        <w:numPr>
          <w:ilvl w:val="0"/>
          <w:numId w:val="14"/>
        </w:numPr>
        <w:spacing w:lineRule="auto" w:line="276" w:before="0" w:after="0"/>
        <w:ind w:hanging="360" w:left="720"/>
        <w:contextualSpacing/>
        <w:rPr/>
      </w:pPr>
      <w:r>
        <w:rPr>
          <w:rFonts w:eastAsia="Arial" w:cs="Arial" w:ascii="Arial" w:hAnsi="Arial"/>
        </w:rPr>
        <w:t>GTs Adaptação climática</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Festival Psica</w:t>
      </w:r>
    </w:p>
    <w:p>
      <w:pPr>
        <w:pStyle w:val="Normal1"/>
        <w:numPr>
          <w:ilvl w:val="0"/>
          <w:numId w:val="6"/>
        </w:numPr>
        <w:spacing w:lineRule="auto" w:line="276" w:before="0" w:afterAutospacing="0" w:after="0"/>
        <w:ind w:hanging="360" w:left="720"/>
        <w:contextualSpacing/>
        <w:rPr/>
      </w:pPr>
      <w:r>
        <w:rPr>
          <w:rFonts w:eastAsia="Arial" w:cs="Arial" w:ascii="Arial" w:hAnsi="Arial"/>
        </w:rPr>
        <w:t>Planejamento para festival Psica 2025</w:t>
      </w:r>
    </w:p>
    <w:p>
      <w:pPr>
        <w:pStyle w:val="Normal1"/>
        <w:numPr>
          <w:ilvl w:val="0"/>
          <w:numId w:val="6"/>
        </w:numPr>
        <w:spacing w:lineRule="auto" w:line="276" w:before="0" w:after="0"/>
        <w:ind w:hanging="360" w:left="720"/>
        <w:contextualSpacing/>
        <w:rPr/>
      </w:pPr>
      <w:r>
        <w:rPr>
          <w:rFonts w:eastAsia="Arial" w:cs="Arial" w:ascii="Arial" w:hAnsi="Arial"/>
        </w:rPr>
        <w:t>Competição de entrega de resíduos para festival Psica 2025</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Reuso Recicla +</w:t>
      </w:r>
    </w:p>
    <w:p>
      <w:pPr>
        <w:pStyle w:val="Normal1"/>
        <w:numPr>
          <w:ilvl w:val="0"/>
          <w:numId w:val="3"/>
        </w:numPr>
        <w:spacing w:lineRule="auto" w:line="276" w:before="0" w:afterAutospacing="0" w:after="0"/>
        <w:ind w:hanging="360" w:left="720"/>
        <w:contextualSpacing/>
        <w:rPr/>
      </w:pPr>
      <w:r>
        <w:rPr>
          <w:rFonts w:eastAsia="Arial" w:cs="Arial" w:ascii="Arial" w:hAnsi="Arial"/>
        </w:rPr>
        <w:t>Planejamento para estruturação do projeto</w:t>
      </w:r>
    </w:p>
    <w:p>
      <w:pPr>
        <w:pStyle w:val="Normal1"/>
        <w:numPr>
          <w:ilvl w:val="0"/>
          <w:numId w:val="3"/>
        </w:numPr>
        <w:spacing w:lineRule="auto" w:line="276" w:before="0" w:after="0"/>
        <w:ind w:hanging="360" w:left="720"/>
        <w:contextualSpacing/>
        <w:rPr/>
      </w:pPr>
      <w:r>
        <w:rPr>
          <w:rFonts w:eastAsia="Arial" w:cs="Arial" w:ascii="Arial" w:hAnsi="Arial"/>
        </w:rPr>
        <w:t>Implementação Reuso recicla +</w:t>
      </w:r>
    </w:p>
    <w:p>
      <w:pPr>
        <w:pStyle w:val="Normal1"/>
        <w:numPr>
          <w:ilvl w:val="0"/>
          <w:numId w:val="0"/>
        </w:numPr>
        <w:spacing w:lineRule="auto" w:line="276" w:before="0" w:after="0"/>
        <w:ind w:hanging="0" w:left="720"/>
        <w:contextualSpacing/>
        <w:rPr>
          <w:rFonts w:ascii="Arial" w:hAnsi="Arial" w:eastAsia="Arial" w:cs="Arial"/>
        </w:rPr>
      </w:pPr>
      <w:r>
        <w:rPr/>
      </w:r>
    </w:p>
    <w:p>
      <w:pPr>
        <w:pStyle w:val="Normal1"/>
        <w:spacing w:lineRule="auto" w:line="276" w:before="0" w:after="0"/>
        <w:contextualSpacing/>
        <w:jc w:val="left"/>
        <w:rPr/>
      </w:pPr>
      <w:r>
        <w:rPr>
          <w:rFonts w:eastAsia="Arial" w:cs="Arial" w:ascii="Arial" w:hAnsi="Arial"/>
          <w:b/>
          <w:bCs/>
        </w:rPr>
        <w:t>[CAM] Água que Brota</w:t>
      </w:r>
    </w:p>
    <w:p>
      <w:pPr>
        <w:pStyle w:val="Normal1"/>
        <w:numPr>
          <w:ilvl w:val="0"/>
          <w:numId w:val="18"/>
        </w:numPr>
        <w:spacing w:lineRule="auto" w:line="276" w:before="0" w:afterAutospacing="0" w:after="0"/>
        <w:ind w:hanging="360" w:left="720"/>
        <w:contextualSpacing/>
        <w:rPr/>
      </w:pPr>
      <w:r>
        <w:rPr>
          <w:rFonts w:eastAsia="Arial" w:cs="Arial" w:ascii="Arial" w:hAnsi="Arial"/>
        </w:rPr>
        <w:t>Inventário e Diagnóstico Ambiental</w:t>
      </w:r>
    </w:p>
    <w:p>
      <w:pPr>
        <w:pStyle w:val="Normal1"/>
        <w:numPr>
          <w:ilvl w:val="0"/>
          <w:numId w:val="18"/>
        </w:numPr>
        <w:spacing w:lineRule="auto" w:line="276" w:before="0" w:afterAutospacing="0" w:after="0"/>
        <w:ind w:hanging="360" w:left="720"/>
        <w:contextualSpacing/>
        <w:rPr/>
      </w:pPr>
      <w:r>
        <w:rPr>
          <w:rFonts w:eastAsia="Arial" w:cs="Arial" w:ascii="Arial" w:hAnsi="Arial"/>
        </w:rPr>
        <w:t>Identificar e priorizar áreas estratégicas para promover a recuperação e proteção da infraestrutura natural associada aos recursos hídricos da bacia hidrográfica do rio Joanes.</w:t>
      </w:r>
    </w:p>
    <w:p>
      <w:pPr>
        <w:pStyle w:val="Normal1"/>
        <w:numPr>
          <w:ilvl w:val="0"/>
          <w:numId w:val="18"/>
        </w:numPr>
        <w:spacing w:lineRule="auto" w:line="276" w:before="0" w:afterAutospacing="0" w:after="0"/>
        <w:ind w:hanging="360" w:left="720"/>
        <w:contextualSpacing/>
        <w:rPr/>
      </w:pPr>
      <w:r>
        <w:rPr>
          <w:rFonts w:eastAsia="Arial" w:cs="Arial" w:ascii="Arial" w:hAnsi="Arial"/>
        </w:rPr>
        <w:t>Implantar sistemas agroflorestais (SAFs) como alternativa sustentável de produção, conservação ambiental e geração de renda alinhados à conservação da Mata Atlântica e à valorização dos serviços ecossistêmicos</w:t>
      </w:r>
    </w:p>
    <w:p>
      <w:pPr>
        <w:pStyle w:val="Normal1"/>
        <w:numPr>
          <w:ilvl w:val="0"/>
          <w:numId w:val="18"/>
        </w:numPr>
        <w:spacing w:lineRule="auto" w:line="276" w:before="0" w:afterAutospacing="0" w:after="0"/>
        <w:ind w:hanging="360" w:left="720"/>
        <w:contextualSpacing/>
        <w:rPr/>
      </w:pPr>
      <w:r>
        <w:rPr>
          <w:rFonts w:eastAsia="Arial" w:cs="Arial" w:ascii="Arial" w:hAnsi="Arial"/>
        </w:rPr>
        <w:t>Estruturar a implementação de mecanismos de Pagamento por Serviços Ambientais (PSA) voltados à conservação hídrica e adaptação climática.</w:t>
      </w:r>
    </w:p>
    <w:p>
      <w:pPr>
        <w:pStyle w:val="Normal1"/>
        <w:numPr>
          <w:ilvl w:val="0"/>
          <w:numId w:val="18"/>
        </w:numPr>
        <w:spacing w:lineRule="auto" w:line="276" w:before="0" w:afterAutospacing="0" w:after="0"/>
        <w:ind w:hanging="360" w:left="720"/>
        <w:contextualSpacing/>
        <w:rPr/>
      </w:pPr>
      <w:r>
        <w:rPr>
          <w:rFonts w:eastAsia="Arial" w:cs="Arial" w:ascii="Arial" w:hAnsi="Arial"/>
        </w:rPr>
        <w:t>Capacitar produtores rurais e lideranças locais em práticas sustentáveis de manejo do solo, água e conservação ambiental</w:t>
      </w:r>
    </w:p>
    <w:p>
      <w:pPr>
        <w:pStyle w:val="Normal1"/>
        <w:numPr>
          <w:ilvl w:val="0"/>
          <w:numId w:val="18"/>
        </w:numPr>
        <w:spacing w:lineRule="auto" w:line="276" w:before="0" w:afterAutospacing="0" w:after="0"/>
        <w:ind w:hanging="360" w:left="720"/>
        <w:contextualSpacing/>
        <w:rPr/>
      </w:pPr>
      <w:r>
        <w:rPr>
          <w:rFonts w:eastAsia="Arial" w:cs="Arial" w:ascii="Arial" w:hAnsi="Arial"/>
        </w:rPr>
        <w:t>Garantir a gestão transparente e a conformidade institucional do projeto</w:t>
      </w:r>
    </w:p>
    <w:p>
      <w:pPr>
        <w:pStyle w:val="Normal1"/>
        <w:numPr>
          <w:ilvl w:val="0"/>
          <w:numId w:val="18"/>
        </w:numPr>
        <w:spacing w:lineRule="auto" w:line="276" w:before="0" w:afterAutospacing="0" w:after="0"/>
        <w:ind w:hanging="360" w:left="720"/>
        <w:contextualSpacing/>
        <w:rPr/>
      </w:pPr>
      <w:r>
        <w:rPr>
          <w:rFonts w:eastAsia="Arial" w:cs="Arial" w:ascii="Arial" w:hAnsi="Arial"/>
        </w:rPr>
        <w:t>Garantir parcerias institucionais entre produtores, poder público, organizações técnicas e iniciativas de desenvolvimento para assegurar a geração de renda e sustentabilidade para continuidade das ações do projeto</w:t>
      </w:r>
    </w:p>
    <w:p>
      <w:pPr>
        <w:pStyle w:val="Normal1"/>
        <w:numPr>
          <w:ilvl w:val="0"/>
          <w:numId w:val="18"/>
        </w:numPr>
        <w:spacing w:lineRule="auto" w:line="276" w:before="0" w:after="0"/>
        <w:ind w:hanging="360" w:left="720"/>
        <w:contextualSpacing/>
        <w:rPr/>
      </w:pPr>
      <w:r>
        <w:rPr>
          <w:rFonts w:eastAsia="Arial" w:cs="Arial" w:ascii="Arial" w:hAnsi="Arial"/>
        </w:rPr>
        <w:t xml:space="preserve">Sistematizar e divulgar o status e os resultados do projeto, com foco na publicização e replicação da experiência. </w:t>
      </w:r>
    </w:p>
    <w:p>
      <w:pPr>
        <w:pStyle w:val="Normal1"/>
        <w:spacing w:lineRule="auto" w:line="276" w:before="0" w:after="0"/>
        <w:ind w:hanging="360" w:left="720"/>
        <w:contextualSpacing/>
        <w:rPr>
          <w:rFonts w:ascii="Arial" w:hAnsi="Arial" w:eastAsia="Arial" w:cs="Arial"/>
        </w:rPr>
      </w:pPr>
      <w:r>
        <w:rPr/>
      </w:r>
    </w:p>
    <w:p>
      <w:pPr>
        <w:pStyle w:val="Normal1"/>
        <w:spacing w:lineRule="auto" w:line="276" w:before="0" w:after="0"/>
        <w:ind w:hanging="360" w:left="720"/>
        <w:contextualSpacing/>
        <w:rPr>
          <w:rFonts w:ascii="Arial" w:hAnsi="Arial" w:eastAsia="Arial" w:cs="Arial"/>
        </w:rPr>
      </w:pPr>
      <w:r>
        <w:rPr/>
      </w:r>
    </w:p>
    <w:p>
      <w:pPr>
        <w:pStyle w:val="Normal1"/>
        <w:spacing w:lineRule="auto" w:line="276" w:before="0" w:after="0"/>
        <w:ind w:hanging="360" w:left="720"/>
        <w:contextualSpacing/>
        <w:rPr>
          <w:rFonts w:ascii="Arial" w:hAnsi="Arial" w:eastAsia="Arial" w:cs="Arial"/>
        </w:rPr>
      </w:pPr>
      <w:r>
        <w:rPr/>
        <mc:AlternateContent>
          <mc:Choice Requires="wps">
            <w:drawing>
              <wp:anchor behindDoc="0" distT="0" distB="0" distL="0" distR="0" simplePos="0" locked="0" layoutInCell="1" allowOverlap="1" relativeHeight="2">
                <wp:simplePos x="0" y="0"/>
                <wp:positionH relativeFrom="column">
                  <wp:posOffset>131445</wp:posOffset>
                </wp:positionH>
                <wp:positionV relativeFrom="paragraph">
                  <wp:posOffset>135255</wp:posOffset>
                </wp:positionV>
                <wp:extent cx="5276850" cy="0"/>
                <wp:effectExtent l="36195" t="36195" r="36195" b="36195"/>
                <wp:wrapNone/>
                <wp:docPr id="1" name="Linha 1"/>
                <a:graphic xmlns:a="http://schemas.openxmlformats.org/drawingml/2006/main">
                  <a:graphicData uri="http://schemas.microsoft.com/office/word/2010/wordprocessingShape">
                    <wps:wsp>
                      <wps:cNvSpPr/>
                      <wps:spPr>
                        <a:xfrm>
                          <a:off x="0" y="0"/>
                          <a:ext cx="5276880" cy="0"/>
                        </a:xfrm>
                        <a:prstGeom prst="line">
                          <a:avLst/>
                        </a:prstGeom>
                        <a:ln w="71640">
                          <a:solidFill>
                            <a:srgbClr val="000000"/>
                          </a:solidFill>
                          <a:round/>
                        </a:ln>
                      </wps:spPr>
                      <wps:style>
                        <a:lnRef idx="0"/>
                        <a:fillRef idx="0"/>
                        <a:effectRef idx="0"/>
                        <a:fontRef idx="minor"/>
                      </wps:style>
                      <wps:bodyPr/>
                    </wps:wsp>
                  </a:graphicData>
                </a:graphic>
              </wp:anchor>
            </w:drawing>
          </mc:Choice>
          <mc:Fallback>
            <w:pict>
              <v:line id="shape_0" from="10.35pt,10.65pt" to="425.8pt,10.65pt" ID="Linha 1" stroked="t" o:allowincell="f" style="position:absolute">
                <v:stroke color="black" weight="71640" joinstyle="round" endcap="flat"/>
                <v:fill o:detectmouseclick="t" on="false"/>
                <w10:wrap type="none"/>
              </v:line>
            </w:pict>
          </mc:Fallback>
        </mc:AlternateContent>
      </w:r>
    </w:p>
    <w:p>
      <w:pPr>
        <w:pStyle w:val="Normal1"/>
        <w:spacing w:lineRule="auto" w:line="276" w:before="0" w:after="0"/>
        <w:ind w:hanging="360" w:left="720"/>
        <w:contextualSpacing/>
        <w:rPr>
          <w:rFonts w:ascii="Arial" w:hAnsi="Arial" w:eastAsia="Arial" w:cs="Arial"/>
        </w:rPr>
      </w:pPr>
      <w:r>
        <w:rPr/>
      </w:r>
    </w:p>
    <w:p>
      <w:pPr>
        <w:pStyle w:val="Normal1"/>
        <w:spacing w:lineRule="auto" w:line="276" w:before="0" w:after="0"/>
        <w:ind w:hanging="360" w:left="720"/>
        <w:contextualSpacing/>
        <w:rPr>
          <w:rFonts w:ascii="Arial" w:hAnsi="Arial" w:eastAsia="Arial" w:cs="Arial"/>
        </w:rPr>
      </w:pPr>
      <w:r>
        <w:rPr/>
      </w:r>
    </w:p>
    <w:p>
      <w:pPr>
        <w:pStyle w:val="Normal1"/>
        <w:jc w:val="center"/>
        <w:rPr>
          <w:rFonts w:ascii="Arial" w:hAnsi="Arial"/>
          <w:b/>
          <w:bCs/>
          <w:sz w:val="32"/>
          <w:szCs w:val="32"/>
        </w:rPr>
      </w:pPr>
      <w:r>
        <w:rPr>
          <w:rFonts w:ascii="Arial" w:hAnsi="Arial"/>
          <w:b/>
          <w:bCs/>
          <w:position w:val="0"/>
          <w:sz w:val="32"/>
          <w:sz w:val="32"/>
          <w:szCs w:val="32"/>
          <w:vertAlign w:val="baseline"/>
        </w:rPr>
        <w:t>FORMULÁRIO DE CONSULTA PÚBLICA</w:t>
        <w:br/>
        <w:t>GRUPO</w:t>
      </w:r>
      <w:r>
        <w:rPr>
          <w:rFonts w:ascii="Arial" w:hAnsi="Arial"/>
          <w:b/>
          <w:bCs/>
          <w:position w:val="0"/>
          <w:sz w:val="32"/>
          <w:sz w:val="32"/>
          <w:szCs w:val="32"/>
          <w:vertAlign w:val="baseline"/>
        </w:rPr>
        <w:t xml:space="preserve"> </w:t>
      </w:r>
      <w:r>
        <w:rPr>
          <w:rFonts w:ascii="Arial" w:hAnsi="Arial"/>
          <w:b/>
          <w:bCs/>
          <w:position w:val="0"/>
          <w:sz w:val="32"/>
          <w:sz w:val="32"/>
          <w:szCs w:val="32"/>
          <w:vertAlign w:val="baseline"/>
        </w:rPr>
        <w:t>BOTICÁRIO</w:t>
      </w:r>
      <w:r>
        <w:rPr>
          <w:rFonts w:ascii="Arial" w:hAnsi="Arial"/>
          <w:b/>
          <w:bCs/>
          <w:position w:val="0"/>
          <w:sz w:val="32"/>
          <w:sz w:val="32"/>
          <w:szCs w:val="32"/>
          <w:vertAlign w:val="baseline"/>
        </w:rPr>
        <w:br/>
        <w:t>(</w:t>
      </w:r>
      <w:r>
        <w:rPr>
          <w:rFonts w:ascii="Arial" w:hAnsi="Arial"/>
          <w:b/>
          <w:bCs/>
          <w:position w:val="0"/>
          <w:sz w:val="32"/>
          <w:sz w:val="32"/>
          <w:szCs w:val="32"/>
          <w:vertAlign w:val="baseline"/>
        </w:rPr>
        <w:t>Botica Comercial Farmacêutica Ltda.</w:t>
      </w:r>
      <w:r>
        <w:rPr>
          <w:rFonts w:ascii="Arial" w:hAnsi="Arial"/>
          <w:b/>
          <w:bCs/>
          <w:position w:val="0"/>
          <w:sz w:val="32"/>
          <w:sz w:val="32"/>
          <w:szCs w:val="32"/>
          <w:vertAlign w:val="baseline"/>
        </w:rPr>
        <w:t>)</w:t>
      </w:r>
    </w:p>
    <w:p>
      <w:pPr>
        <w:pStyle w:val="Normal1"/>
        <w:jc w:val="center"/>
        <w:rPr>
          <w:position w:val="0"/>
          <w:sz w:val="22"/>
          <w:vertAlign w:val="baseline"/>
        </w:rPr>
      </w:pPr>
      <w:r>
        <w:rPr>
          <w:rFonts w:ascii="Arial" w:hAnsi="Arial"/>
          <w:b/>
          <w:bCs/>
          <w:sz w:val="22"/>
          <w:szCs w:val="22"/>
        </w:rPr>
      </w:r>
    </w:p>
    <w:p>
      <w:pPr>
        <w:pStyle w:val="Normal1"/>
        <w:spacing w:before="0" w:after="198"/>
        <w:contextualSpacing/>
        <w:jc w:val="left"/>
        <w:rPr>
          <w:rFonts w:ascii="Arial" w:hAnsi="Arial"/>
        </w:rPr>
      </w:pPr>
      <w:r>
        <w:rPr>
          <w:rFonts w:ascii="Arial" w:hAnsi="Arial"/>
          <w:position w:val="0"/>
          <w:sz w:val="22"/>
          <w:vertAlign w:val="baseline"/>
        </w:rPr>
        <w:t>Por favor, preencha os seguintes dados:</w:t>
      </w:r>
    </w:p>
    <w:p>
      <w:pPr>
        <w:pStyle w:val="Normal1"/>
        <w:spacing w:before="0" w:after="198"/>
        <w:contextualSpacing/>
        <w:jc w:val="left"/>
        <w:rPr>
          <w:rFonts w:ascii="Arial" w:hAnsi="Arial"/>
        </w:rPr>
      </w:pPr>
      <w:r>
        <w:rPr>
          <w:rFonts w:ascii="Arial" w:hAnsi="Arial"/>
          <w:position w:val="0"/>
          <w:sz w:val="22"/>
          <w:vertAlign w:val="baseline"/>
        </w:rPr>
        <w:t>Nome:</w:t>
      </w:r>
    </w:p>
    <w:p>
      <w:pPr>
        <w:pStyle w:val="Normal1"/>
        <w:spacing w:before="0" w:after="198"/>
        <w:contextualSpacing/>
        <w:jc w:val="left"/>
        <w:rPr>
          <w:rFonts w:ascii="Arial" w:hAnsi="Arial"/>
        </w:rPr>
      </w:pPr>
      <w:r>
        <w:rPr>
          <w:rFonts w:ascii="Arial" w:hAnsi="Arial"/>
          <w:position w:val="0"/>
          <w:sz w:val="22"/>
          <w:vertAlign w:val="baseline"/>
        </w:rPr>
        <w:t>Organização:</w:t>
      </w:r>
    </w:p>
    <w:p>
      <w:pPr>
        <w:pStyle w:val="Normal1"/>
        <w:spacing w:before="0" w:after="198"/>
        <w:contextualSpacing/>
        <w:jc w:val="left"/>
        <w:rPr>
          <w:rFonts w:ascii="Arial" w:hAnsi="Arial"/>
        </w:rPr>
      </w:pPr>
      <w:r>
        <w:rPr>
          <w:rFonts w:ascii="Arial" w:hAnsi="Arial"/>
          <w:position w:val="0"/>
          <w:sz w:val="22"/>
          <w:vertAlign w:val="baseline"/>
        </w:rPr>
        <w:t>Cargo:</w:t>
      </w:r>
    </w:p>
    <w:p>
      <w:pPr>
        <w:pStyle w:val="Normal1"/>
        <w:spacing w:before="0" w:after="198"/>
        <w:contextualSpacing/>
        <w:jc w:val="left"/>
        <w:rPr>
          <w:rFonts w:ascii="Arial" w:hAnsi="Arial"/>
        </w:rPr>
      </w:pPr>
      <w:r>
        <w:rPr>
          <w:rFonts w:ascii="Arial" w:hAnsi="Arial"/>
          <w:position w:val="0"/>
          <w:sz w:val="22"/>
          <w:vertAlign w:val="baseline"/>
        </w:rPr>
        <w:t>Endereço:</w:t>
      </w:r>
    </w:p>
    <w:p>
      <w:pPr>
        <w:pStyle w:val="Normal1"/>
        <w:spacing w:before="0" w:after="198"/>
        <w:contextualSpacing/>
        <w:jc w:val="left"/>
        <w:rPr>
          <w:rFonts w:ascii="Arial" w:hAnsi="Arial"/>
        </w:rPr>
      </w:pPr>
      <w:r>
        <w:rPr>
          <w:rFonts w:ascii="Arial" w:hAnsi="Arial"/>
          <w:position w:val="0"/>
          <w:sz w:val="22"/>
          <w:vertAlign w:val="baseline"/>
        </w:rPr>
        <w:t>Cidade/Estado/CEP:</w:t>
      </w:r>
    </w:p>
    <w:p>
      <w:pPr>
        <w:pStyle w:val="Normal1"/>
        <w:spacing w:before="0" w:after="198"/>
        <w:contextualSpacing/>
        <w:jc w:val="left"/>
        <w:rPr>
          <w:rFonts w:ascii="Arial" w:hAnsi="Arial"/>
        </w:rPr>
      </w:pPr>
      <w:r>
        <w:rPr>
          <w:rFonts w:ascii="Arial" w:hAnsi="Arial"/>
          <w:position w:val="0"/>
          <w:sz w:val="22"/>
          <w:vertAlign w:val="baseline"/>
        </w:rPr>
        <w:t>Telefone:</w:t>
      </w:r>
    </w:p>
    <w:p>
      <w:pPr>
        <w:pStyle w:val="Normal1"/>
        <w:spacing w:before="0" w:after="198"/>
        <w:contextualSpacing/>
        <w:jc w:val="left"/>
        <w:rPr>
          <w:rFonts w:ascii="Arial" w:hAnsi="Arial"/>
        </w:rPr>
      </w:pPr>
      <w:r>
        <w:rPr>
          <w:rFonts w:ascii="Arial" w:hAnsi="Arial"/>
          <w:position w:val="0"/>
          <w:sz w:val="22"/>
          <w:vertAlign w:val="baseline"/>
        </w:rPr>
        <w:t>E-mail:</w:t>
      </w:r>
    </w:p>
    <w:p>
      <w:pPr>
        <w:pStyle w:val="Normal1"/>
        <w:spacing w:before="0" w:after="198"/>
        <w:contextualSpacing/>
        <w:jc w:val="left"/>
        <w:rPr>
          <w:rFonts w:ascii="Arial" w:hAnsi="Arial"/>
          <w:position w:val="0"/>
          <w:sz w:val="22"/>
          <w:vertAlign w:val="baseline"/>
        </w:rPr>
      </w:pPr>
      <w:r>
        <w:rPr>
          <w:rFonts w:ascii="Arial" w:hAnsi="Arial"/>
          <w:position w:val="0"/>
          <w:sz w:val="22"/>
          <w:vertAlign w:val="baseline"/>
        </w:rPr>
      </w:r>
    </w:p>
    <w:p>
      <w:pPr>
        <w:pStyle w:val="Normal1"/>
        <w:numPr>
          <w:ilvl w:val="0"/>
          <w:numId w:val="13"/>
        </w:numPr>
        <w:spacing w:before="0" w:after="198"/>
        <w:ind w:hanging="360" w:left="360"/>
        <w:contextualSpacing/>
        <w:jc w:val="left"/>
        <w:rPr>
          <w:rFonts w:ascii="Arial" w:hAnsi="Arial"/>
        </w:rPr>
      </w:pPr>
      <w:r>
        <w:rPr>
          <w:rFonts w:ascii="Arial" w:hAnsi="Arial"/>
          <w:position w:val="0"/>
          <w:sz w:val="22"/>
          <w:vertAlign w:val="baseline"/>
        </w:rPr>
        <w:t>O/A senhor/a conhece a organização Grupo Boticário?</w:t>
        <w:tab/>
        <w:tab/>
      </w:r>
    </w:p>
    <w:p>
      <w:pPr>
        <w:pStyle w:val="Normal1"/>
        <w:spacing w:before="0" w:after="198"/>
        <w:contextualSpacing/>
        <w:jc w:val="left"/>
        <w:rPr>
          <w:rFonts w:ascii="Arial" w:hAnsi="Arial"/>
        </w:rPr>
      </w:pPr>
      <w:r>
        <w:rPr>
          <w:rFonts w:ascii="Arial" w:hAnsi="Arial"/>
          <w:position w:val="0"/>
          <w:sz w:val="22"/>
          <w:vertAlign w:val="baseline"/>
        </w:rPr>
        <w:t xml:space="preserve">[  ] </w:t>
      </w:r>
      <w:r>
        <w:rPr>
          <w:rFonts w:ascii="Arial" w:hAnsi="Arial"/>
          <w:position w:val="0"/>
          <w:sz w:val="22"/>
          <w:vertAlign w:val="baseline"/>
        </w:rPr>
        <w:t>Sim</w:t>
        <w:tab/>
        <w:tab/>
      </w:r>
      <w:r>
        <w:rPr>
          <w:rFonts w:ascii="Arial" w:hAnsi="Arial"/>
          <w:position w:val="0"/>
          <w:sz w:val="22"/>
          <w:vertAlign w:val="baseline"/>
        </w:rPr>
        <w:t xml:space="preserve">[  ] </w:t>
      </w:r>
      <w:r>
        <w:rPr>
          <w:rFonts w:ascii="Arial" w:hAnsi="Arial"/>
          <w:position w:val="0"/>
          <w:sz w:val="22"/>
          <w:vertAlign w:val="baseline"/>
        </w:rPr>
        <w:t>Não</w:t>
      </w:r>
    </w:p>
    <w:p>
      <w:pPr>
        <w:pStyle w:val="Normal1"/>
        <w:spacing w:before="0" w:after="198"/>
        <w:contextualSpacing/>
        <w:jc w:val="left"/>
        <w:rPr>
          <w:rFonts w:ascii="Arial" w:hAnsi="Arial"/>
          <w:position w:val="0"/>
          <w:sz w:val="22"/>
          <w:vertAlign w:val="baseline"/>
        </w:rPr>
      </w:pPr>
      <w:r>
        <w:rPr>
          <w:rFonts w:ascii="Arial" w:hAnsi="Arial"/>
          <w:position w:val="0"/>
          <w:sz w:val="22"/>
          <w:vertAlign w:val="baseline"/>
        </w:rPr>
      </w:r>
    </w:p>
    <w:p>
      <w:pPr>
        <w:pStyle w:val="Normal1"/>
        <w:numPr>
          <w:ilvl w:val="0"/>
          <w:numId w:val="13"/>
        </w:numPr>
        <w:spacing w:before="0" w:after="198"/>
        <w:ind w:hanging="360" w:left="360"/>
        <w:contextualSpacing/>
        <w:jc w:val="left"/>
        <w:rPr>
          <w:rFonts w:ascii="Arial" w:hAnsi="Arial"/>
        </w:rPr>
      </w:pPr>
      <w:r>
        <w:rPr>
          <w:rFonts w:ascii="Arial" w:hAnsi="Arial"/>
          <w:position w:val="0"/>
          <w:sz w:val="22"/>
          <w:vertAlign w:val="baseline"/>
        </w:rPr>
        <w:t>O/A senhor/a conhece as ações de conservação realizadas pelo Grupo Boticário?</w:t>
      </w:r>
    </w:p>
    <w:p>
      <w:pPr>
        <w:pStyle w:val="Normal1"/>
        <w:spacing w:before="0" w:after="198"/>
        <w:contextualSpacing/>
        <w:jc w:val="left"/>
        <w:rPr>
          <w:position w:val="0"/>
          <w:sz w:val="22"/>
          <w:vertAlign w:val="baseline"/>
        </w:rPr>
      </w:pPr>
      <w:r>
        <w:rPr>
          <w:rFonts w:ascii="Arial" w:hAnsi="Arial"/>
          <w:position w:val="0"/>
          <w:sz w:val="22"/>
          <w:vertAlign w:val="baseline"/>
        </w:rPr>
        <w:t xml:space="preserve">[  ] </w:t>
      </w:r>
      <w:r>
        <w:rPr>
          <w:rFonts w:ascii="Arial" w:hAnsi="Arial"/>
          <w:position w:val="0"/>
          <w:sz w:val="22"/>
          <w:vertAlign w:val="baseline"/>
        </w:rPr>
        <w:t>Sim</w:t>
        <w:tab/>
        <w:tab/>
      </w:r>
      <w:r>
        <w:rPr>
          <w:rFonts w:ascii="Arial" w:hAnsi="Arial"/>
          <w:position w:val="0"/>
          <w:sz w:val="22"/>
          <w:vertAlign w:val="baseline"/>
        </w:rPr>
        <w:t xml:space="preserve">[  ] </w:t>
      </w:r>
      <w:r>
        <w:rPr>
          <w:rFonts w:ascii="Arial" w:hAnsi="Arial"/>
          <w:position w:val="0"/>
          <w:sz w:val="22"/>
          <w:vertAlign w:val="baseline"/>
        </w:rPr>
        <w:t>Não</w:t>
      </w:r>
    </w:p>
    <w:p>
      <w:pPr>
        <w:pStyle w:val="Normal1"/>
        <w:spacing w:before="0" w:after="198"/>
        <w:contextualSpacing/>
        <w:jc w:val="left"/>
        <w:rPr>
          <w:rFonts w:ascii="Arial" w:hAnsi="Arial"/>
          <w:position w:val="0"/>
          <w:sz w:val="22"/>
          <w:vertAlign w:val="baseline"/>
        </w:rPr>
      </w:pPr>
      <w:r>
        <w:rPr>
          <w:rFonts w:ascii="Arial" w:hAnsi="Arial"/>
          <w:position w:val="0"/>
          <w:sz w:val="22"/>
          <w:vertAlign w:val="baseline"/>
        </w:rPr>
      </w:r>
    </w:p>
    <w:p>
      <w:pPr>
        <w:pStyle w:val="Normal1"/>
        <w:numPr>
          <w:ilvl w:val="0"/>
          <w:numId w:val="13"/>
        </w:numPr>
        <w:spacing w:before="0" w:after="198"/>
        <w:ind w:hanging="360" w:left="360"/>
        <w:contextualSpacing/>
        <w:jc w:val="left"/>
        <w:rPr>
          <w:rFonts w:ascii="Arial" w:hAnsi="Arial"/>
        </w:rPr>
      </w:pPr>
      <w:r>
        <w:rPr>
          <w:rFonts w:ascii="Arial" w:hAnsi="Arial"/>
          <w:position w:val="0"/>
          <w:sz w:val="22"/>
          <w:vertAlign w:val="baseline"/>
        </w:rPr>
        <w:t>Qual sua opinião sobre os impactos à biodiversidade gerado pelas atividades e operações realizadas pelo Grupo Boticário?</w:t>
      </w:r>
    </w:p>
    <w:p>
      <w:pPr>
        <w:pStyle w:val="Normal1"/>
        <w:spacing w:before="0" w:after="198"/>
        <w:contextualSpacing/>
        <w:jc w:val="left"/>
        <w:rPr>
          <w:rFonts w:ascii="Arial" w:hAnsi="Arial"/>
          <w:position w:val="0"/>
          <w:sz w:val="22"/>
          <w:vertAlign w:val="baseline"/>
        </w:rPr>
      </w:pPr>
      <w:r>
        <w:rPr>
          <w:rFonts w:ascii="Arial" w:hAnsi="Arial"/>
          <w:position w:val="0"/>
          <w:sz w:val="22"/>
          <w:vertAlign w:val="baseline"/>
        </w:rPr>
      </w:r>
    </w:p>
    <w:p>
      <w:pPr>
        <w:pStyle w:val="Normal1"/>
        <w:numPr>
          <w:ilvl w:val="0"/>
          <w:numId w:val="13"/>
        </w:numPr>
        <w:spacing w:before="0" w:after="198"/>
        <w:ind w:hanging="360" w:left="360"/>
        <w:contextualSpacing/>
        <w:jc w:val="left"/>
        <w:rPr>
          <w:rFonts w:ascii="Arial" w:hAnsi="Arial"/>
        </w:rPr>
      </w:pPr>
      <w:r>
        <w:rPr>
          <w:rFonts w:ascii="Arial" w:hAnsi="Arial"/>
          <w:position w:val="0"/>
          <w:sz w:val="22"/>
          <w:vertAlign w:val="baseline"/>
        </w:rPr>
        <w:t>Qual sua opinião sobre as ações de conservação realizadas pelo Grupo Boticário?</w:t>
      </w:r>
    </w:p>
    <w:sectPr>
      <w:type w:val="nextPage"/>
      <w:pgSz w:w="11906" w:h="16838"/>
      <w:pgMar w:left="1701" w:right="1701" w:gutter="0" w:header="0" w:top="1418" w:footer="0" w:bottom="1418"/>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Arial">
    <w:charset w:val="00"/>
    <w:family w:val="roman"/>
    <w:pitch w:val="variable"/>
  </w:font>
  <w:font w:name="Wingdings 2">
    <w:charset w:val="02"/>
    <w:family w:val="auto"/>
    <w:pitch w:val="default"/>
  </w:font>
  <w:font w:name="OpenSymbol">
    <w:altName w:val="Arial Unicode MS"/>
    <w:charset w:val="01"/>
    <w:family w:val="auto"/>
    <w:pitch w:val="default"/>
    <w:embedRegular r:id="rId22" w:fontKey="{16014A78-CABC-4EF0-12AC-5CD89AEFDE16}"/>
  </w:font>
  <w:font w:name="Wingdings">
    <w:charset w:val="02"/>
    <w:family w:val="auto"/>
    <w:pitch w:val="default"/>
    <w:embedRegular r:id="rId23" w:fontKey="{17014A78-CABC-4EF0-12AC-5CD89AEFDE17}"/>
  </w:font>
  <w:font w:name="Noto Sans Symbols">
    <w:charset w:val="01"/>
    <w:family w:val="swiss"/>
    <w:pitch w:val="variable"/>
    <w:embedRegular r:id="rId24" w:fontKey="{18014A78-CABC-4EF0-12AC-5CD89AEFDE18}"/>
    <w:embedBold r:id="rId25" w:fontKey="{19014A78-CABC-4EF0-12AC-5CD89AEFDE19}"/>
  </w:font>
  <w:font w:name="Courier New">
    <w:charset w:val="01"/>
    <w:family w:val="modern"/>
    <w:pitch w:val="fixed"/>
    <w:embedRegular r:id="rId26" w:fontKey="{1A014A78-CABC-4EF0-12AC-5CD89AEFDE1A}"/>
    <w:embedBold r:id="rId27" w:fontKey="{1B014A78-CABC-4EF0-12AC-5CD89AEFDE1B}"/>
    <w:embedItalic r:id="rId28" w:fontKey="{1C014A78-CABC-4EF0-12AC-5CD89AEFDE1C}"/>
    <w:embedBoldItalic r:id="rId29" w:fontKey="{1D014A78-CABC-4EF0-12AC-5CD89AEFDE1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0">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1">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2">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2"/>
      </w:rPr>
    </w:lvl>
    <w:lvl w:ilvl="1">
      <w:start w:val="1"/>
      <w:numFmt w:val="bullet"/>
      <w:lvlText w:val="o"/>
      <w:lvlJc w:val="left"/>
      <w:pPr>
        <w:tabs>
          <w:tab w:val="num" w:pos="0"/>
        </w:tabs>
        <w:ind w:left="1440" w:hanging="360"/>
      </w:pPr>
      <w:rPr>
        <w:rFonts w:ascii="Courier New" w:hAnsi="Courier New" w:cs="Courier New" w:hint="default"/>
        <w:vertAlign w:val="baseline"/>
        <w:position w:val="0"/>
        <w:sz w:val="22"/>
      </w:rPr>
    </w:lvl>
    <w:lvl w:ilvl="2">
      <w:start w:val="1"/>
      <w:numFmt w:val="bullet"/>
      <w:lvlText w:val="▪"/>
      <w:lvlJc w:val="left"/>
      <w:pPr>
        <w:tabs>
          <w:tab w:val="num" w:pos="0"/>
        </w:tabs>
        <w:ind w:left="2160" w:hanging="360"/>
      </w:pPr>
      <w:rPr>
        <w:rFonts w:ascii="Noto Sans Symbols" w:hAnsi="Noto Sans Symbols" w:cs="Noto Sans Symbols" w:hint="default"/>
        <w:vertAlign w:val="baseline"/>
        <w:position w:val="0"/>
        <w:sz w:val="22"/>
      </w:rPr>
    </w:lvl>
    <w:lvl w:ilvl="3">
      <w:start w:val="1"/>
      <w:numFmt w:val="bullet"/>
      <w:lvlText w:val="●"/>
      <w:lvlJc w:val="left"/>
      <w:pPr>
        <w:tabs>
          <w:tab w:val="num" w:pos="0"/>
        </w:tabs>
        <w:ind w:left="2880" w:hanging="360"/>
      </w:pPr>
      <w:rPr>
        <w:rFonts w:ascii="Noto Sans Symbols" w:hAnsi="Noto Sans Symbols" w:cs="Noto Sans Symbols" w:hint="default"/>
        <w:vertAlign w:val="baseline"/>
        <w:position w:val="0"/>
        <w:sz w:val="22"/>
      </w:rPr>
    </w:lvl>
    <w:lvl w:ilvl="4">
      <w:start w:val="1"/>
      <w:numFmt w:val="bullet"/>
      <w:lvlText w:val="o"/>
      <w:lvlJc w:val="left"/>
      <w:pPr>
        <w:tabs>
          <w:tab w:val="num" w:pos="0"/>
        </w:tabs>
        <w:ind w:left="3600" w:hanging="360"/>
      </w:pPr>
      <w:rPr>
        <w:rFonts w:ascii="Courier New" w:hAnsi="Courier New" w:cs="Courier New" w:hint="default"/>
        <w:vertAlign w:val="baseline"/>
        <w:position w:val="0"/>
        <w:sz w:val="22"/>
      </w:rPr>
    </w:lvl>
    <w:lvl w:ilvl="5">
      <w:start w:val="1"/>
      <w:numFmt w:val="bullet"/>
      <w:lvlText w:val="▪"/>
      <w:lvlJc w:val="left"/>
      <w:pPr>
        <w:tabs>
          <w:tab w:val="num" w:pos="0"/>
        </w:tabs>
        <w:ind w:left="4320" w:hanging="360"/>
      </w:pPr>
      <w:rPr>
        <w:rFonts w:ascii="Noto Sans Symbols" w:hAnsi="Noto Sans Symbols" w:cs="Noto Sans Symbols" w:hint="default"/>
        <w:vertAlign w:val="baseline"/>
        <w:position w:val="0"/>
        <w:sz w:val="22"/>
      </w:rPr>
    </w:lvl>
    <w:lvl w:ilvl="6">
      <w:start w:val="1"/>
      <w:numFmt w:val="bullet"/>
      <w:lvlText w:val="●"/>
      <w:lvlJc w:val="left"/>
      <w:pPr>
        <w:tabs>
          <w:tab w:val="num" w:pos="0"/>
        </w:tabs>
        <w:ind w:left="5040" w:hanging="360"/>
      </w:pPr>
      <w:rPr>
        <w:rFonts w:ascii="Noto Sans Symbols" w:hAnsi="Noto Sans Symbols" w:cs="Noto Sans Symbols" w:hint="default"/>
        <w:vertAlign w:val="baseline"/>
        <w:position w:val="0"/>
        <w:sz w:val="22"/>
      </w:rPr>
    </w:lvl>
    <w:lvl w:ilvl="7">
      <w:start w:val="1"/>
      <w:numFmt w:val="bullet"/>
      <w:lvlText w:val="o"/>
      <w:lvlJc w:val="left"/>
      <w:pPr>
        <w:tabs>
          <w:tab w:val="num" w:pos="0"/>
        </w:tabs>
        <w:ind w:left="5760" w:hanging="360"/>
      </w:pPr>
      <w:rPr>
        <w:rFonts w:ascii="Courier New" w:hAnsi="Courier New" w:cs="Courier New" w:hint="default"/>
        <w:vertAlign w:val="baseline"/>
        <w:position w:val="0"/>
        <w:sz w:val="22"/>
      </w:rPr>
    </w:lvl>
    <w:lvl w:ilvl="8">
      <w:start w:val="1"/>
      <w:numFmt w:val="bullet"/>
      <w:lvlText w:val="▪"/>
      <w:lvlJc w:val="left"/>
      <w:pPr>
        <w:tabs>
          <w:tab w:val="num" w:pos="0"/>
        </w:tabs>
        <w:ind w:left="6480" w:hanging="360"/>
      </w:pPr>
      <w:rPr>
        <w:rFonts w:ascii="Noto Sans Symbols" w:hAnsi="Noto Sans Symbols" w:cs="Noto Sans Symbols" w:hint="default"/>
        <w:vertAlign w:val="baseline"/>
        <w:position w:val="0"/>
        <w:sz w:val="22"/>
      </w:rPr>
    </w:lvl>
  </w:abstractNum>
  <w:abstractNum w:abstractNumId="13">
    <w:lvl w:ilvl="0">
      <w:start w:val="1"/>
      <w:numFmt w:val="decimal"/>
      <w:lvlText w:val="%1."/>
      <w:lvlJc w:val="left"/>
      <w:pPr>
        <w:tabs>
          <w:tab w:val="num" w:pos="0"/>
        </w:tabs>
        <w:ind w:left="360" w:hanging="360"/>
      </w:pPr>
      <w:rPr>
        <w:vertAlign w:val="baseline"/>
        <w:position w:val="0"/>
        <w:sz w:val="22"/>
      </w:rPr>
    </w:lvl>
    <w:lvl w:ilvl="1">
      <w:start w:val="1"/>
      <w:numFmt w:val="lowerLetter"/>
      <w:lvlText w:val="%2."/>
      <w:lvlJc w:val="left"/>
      <w:pPr>
        <w:tabs>
          <w:tab w:val="num" w:pos="0"/>
        </w:tabs>
        <w:ind w:left="1440" w:hanging="360"/>
      </w:pPr>
      <w:rPr>
        <w:vertAlign w:val="baseline"/>
        <w:position w:val="0"/>
        <w:sz w:val="22"/>
      </w:rPr>
    </w:lvl>
    <w:lvl w:ilvl="2">
      <w:start w:val="1"/>
      <w:numFmt w:val="lowerRoman"/>
      <w:lvlText w:val="%3."/>
      <w:lvlJc w:val="right"/>
      <w:pPr>
        <w:tabs>
          <w:tab w:val="num" w:pos="0"/>
        </w:tabs>
        <w:ind w:left="2160" w:hanging="180"/>
      </w:pPr>
      <w:rPr>
        <w:vertAlign w:val="baseline"/>
        <w:position w:val="0"/>
        <w:sz w:val="22"/>
      </w:rPr>
    </w:lvl>
    <w:lvl w:ilvl="3">
      <w:start w:val="1"/>
      <w:numFmt w:val="decimal"/>
      <w:lvlText w:val="%4."/>
      <w:lvlJc w:val="left"/>
      <w:pPr>
        <w:tabs>
          <w:tab w:val="num" w:pos="0"/>
        </w:tabs>
        <w:ind w:left="2880" w:hanging="360"/>
      </w:pPr>
      <w:rPr>
        <w:vertAlign w:val="baseline"/>
        <w:position w:val="0"/>
        <w:sz w:val="22"/>
      </w:rPr>
    </w:lvl>
    <w:lvl w:ilvl="4">
      <w:start w:val="1"/>
      <w:numFmt w:val="lowerLetter"/>
      <w:lvlText w:val="%5."/>
      <w:lvlJc w:val="left"/>
      <w:pPr>
        <w:tabs>
          <w:tab w:val="num" w:pos="0"/>
        </w:tabs>
        <w:ind w:left="3600" w:hanging="360"/>
      </w:pPr>
      <w:rPr>
        <w:vertAlign w:val="baseline"/>
        <w:position w:val="0"/>
        <w:sz w:val="22"/>
      </w:rPr>
    </w:lvl>
    <w:lvl w:ilvl="5">
      <w:start w:val="1"/>
      <w:numFmt w:val="lowerRoman"/>
      <w:lvlText w:val="%6."/>
      <w:lvlJc w:val="right"/>
      <w:pPr>
        <w:tabs>
          <w:tab w:val="num" w:pos="0"/>
        </w:tabs>
        <w:ind w:left="4320" w:hanging="180"/>
      </w:pPr>
      <w:rPr>
        <w:vertAlign w:val="baseline"/>
        <w:position w:val="0"/>
        <w:sz w:val="22"/>
      </w:rPr>
    </w:lvl>
    <w:lvl w:ilvl="6">
      <w:start w:val="1"/>
      <w:numFmt w:val="decimal"/>
      <w:lvlText w:val="%7."/>
      <w:lvlJc w:val="left"/>
      <w:pPr>
        <w:tabs>
          <w:tab w:val="num" w:pos="0"/>
        </w:tabs>
        <w:ind w:left="5040" w:hanging="360"/>
      </w:pPr>
      <w:rPr>
        <w:vertAlign w:val="baseline"/>
        <w:position w:val="0"/>
        <w:sz w:val="22"/>
      </w:rPr>
    </w:lvl>
    <w:lvl w:ilvl="7">
      <w:start w:val="1"/>
      <w:numFmt w:val="lowerLetter"/>
      <w:lvlText w:val="%8."/>
      <w:lvlJc w:val="left"/>
      <w:pPr>
        <w:tabs>
          <w:tab w:val="num" w:pos="0"/>
        </w:tabs>
        <w:ind w:left="5760" w:hanging="360"/>
      </w:pPr>
      <w:rPr>
        <w:vertAlign w:val="baseline"/>
        <w:position w:val="0"/>
        <w:sz w:val="22"/>
      </w:rPr>
    </w:lvl>
    <w:lvl w:ilvl="8">
      <w:start w:val="1"/>
      <w:numFmt w:val="lowerRoman"/>
      <w:lvlText w:val="%9."/>
      <w:lvlJc w:val="right"/>
      <w:pPr>
        <w:tabs>
          <w:tab w:val="num" w:pos="0"/>
        </w:tabs>
        <w:ind w:left="6480" w:hanging="180"/>
      </w:pPr>
      <w:rPr>
        <w:vertAlign w:val="baseline"/>
        <w:position w:val="0"/>
        <w:sz w:val="22"/>
      </w:rPr>
    </w:lvl>
  </w:abstractNum>
  <w:abstractNum w:abstractNumId="14">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5">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6">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7">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8">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9">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0">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1">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2">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3">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
    <w:lvl w:ilvl="0">
      <w:start w:val="1"/>
      <w:numFmt w:val="bullet"/>
      <w:lvlText w:val="●"/>
      <w:lvlJc w:val="left"/>
      <w:pPr>
        <w:tabs>
          <w:tab w:val="num" w:pos="0"/>
        </w:tabs>
        <w:ind w:left="720" w:hanging="360"/>
      </w:pPr>
      <w:rPr>
        <w:rFonts w:ascii="Arial" w:hAnsi="Arial" w:cs="Arial"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false"/>
      <w:keepLines w:val="false"/>
      <w:pageBreakBefore w:val="false"/>
      <w:widowControl/>
      <w:pBdr/>
      <w:shd w:val="clear" w:fill="auto"/>
      <w:spacing w:lineRule="auto" w:line="276" w:before="0" w:after="200"/>
      <w:ind w:hanging="0" w:left="0" w:right="0"/>
      <w:jc w:val="left"/>
    </w:pPr>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bidi w:val="0"/>
      <w:spacing w:lineRule="auto" w:line="276" w:before="0" w:after="200"/>
      <w:jc w:val="left"/>
    </w:pPr>
    <w:rPr>
      <w:rFonts w:ascii="Calibri" w:hAnsi="Calibri" w:eastAsia="Calibri" w:cs="Calibri"/>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institutolife.org.br/" TargetMode="External"/><Relationship Id="rId3" Type="http://schemas.openxmlformats.org/officeDocument/2006/relationships/hyperlink" Target="http://www.tecparcert.com.br/" TargetMode="External"/><Relationship Id="rId4" Type="http://schemas.openxmlformats.org/officeDocument/2006/relationships/hyperlink" Target=""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168</TotalTime>
  <Application>LibreOffice/7.6.2.1$Windows_X86_64 LibreOffice_project/56f7684011345957bbf33a7ee678afaf4d2ba333</Application>
  <AppVersion>15.0000</AppVersion>
  <Pages>7</Pages>
  <Words>2211</Words>
  <Characters>12383</Characters>
  <CharactersWithSpaces>14332</CharactersWithSpaces>
  <Paragraphs>182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2026-09-20T00:33:26Z</dcterms:modified>
  <cp:revision>4</cp:revision>
  <dc:subject/>
  <dc:title/>
</cp:coreProperties>
</file>